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FE" w:rsidRDefault="00BC4B0E" w:rsidP="00B141B5">
      <w:pPr>
        <w:jc w:val="both"/>
        <w:rPr>
          <w:rFonts w:ascii="Times New Roman" w:hAnsi="Times New Roman" w:cs="Times New Roman"/>
          <w:b/>
          <w:sz w:val="28"/>
          <w:szCs w:val="28"/>
        </w:rPr>
      </w:pPr>
      <w:r w:rsidRPr="00BB65FE">
        <w:rPr>
          <w:rFonts w:ascii="Times New Roman" w:hAnsi="Times New Roman" w:cs="Times New Roman"/>
          <w:b/>
          <w:sz w:val="28"/>
          <w:szCs w:val="28"/>
        </w:rPr>
        <w:t>Аналитическ</w:t>
      </w:r>
      <w:r w:rsidR="00BB65FE" w:rsidRPr="00BB65FE">
        <w:rPr>
          <w:rFonts w:ascii="Times New Roman" w:hAnsi="Times New Roman" w:cs="Times New Roman"/>
          <w:b/>
          <w:sz w:val="28"/>
          <w:szCs w:val="28"/>
        </w:rPr>
        <w:t>ая</w:t>
      </w:r>
      <w:r w:rsidR="00405A1F">
        <w:rPr>
          <w:rFonts w:ascii="Times New Roman" w:hAnsi="Times New Roman" w:cs="Times New Roman"/>
          <w:b/>
          <w:sz w:val="28"/>
          <w:szCs w:val="28"/>
        </w:rPr>
        <w:t xml:space="preserve"> </w:t>
      </w:r>
      <w:r w:rsidR="00BB65FE" w:rsidRPr="00BB65FE">
        <w:rPr>
          <w:rFonts w:ascii="Times New Roman" w:hAnsi="Times New Roman" w:cs="Times New Roman"/>
          <w:b/>
          <w:sz w:val="28"/>
          <w:szCs w:val="28"/>
        </w:rPr>
        <w:t>справка по результатам мониторинга</w:t>
      </w:r>
      <w:r w:rsidR="00405A1F">
        <w:rPr>
          <w:rFonts w:ascii="Times New Roman" w:hAnsi="Times New Roman" w:cs="Times New Roman"/>
          <w:b/>
          <w:sz w:val="28"/>
          <w:szCs w:val="28"/>
        </w:rPr>
        <w:t xml:space="preserve"> </w:t>
      </w:r>
      <w:r w:rsidR="00BB65FE">
        <w:rPr>
          <w:rFonts w:ascii="Times New Roman" w:hAnsi="Times New Roman" w:cs="Times New Roman"/>
          <w:b/>
          <w:sz w:val="28"/>
          <w:szCs w:val="28"/>
        </w:rPr>
        <w:t>образовательного процесса и детского развития по направлению «Музыкальная деятельность» во всех возрастных группах за 201</w:t>
      </w:r>
      <w:r w:rsidR="007F6F97">
        <w:rPr>
          <w:rFonts w:ascii="Times New Roman" w:hAnsi="Times New Roman" w:cs="Times New Roman"/>
          <w:b/>
          <w:sz w:val="28"/>
          <w:szCs w:val="28"/>
        </w:rPr>
        <w:t>8</w:t>
      </w:r>
      <w:r w:rsidR="00BB65FE">
        <w:rPr>
          <w:rFonts w:ascii="Times New Roman" w:hAnsi="Times New Roman" w:cs="Times New Roman"/>
          <w:b/>
          <w:sz w:val="28"/>
          <w:szCs w:val="28"/>
        </w:rPr>
        <w:t xml:space="preserve"> – 20</w:t>
      </w:r>
      <w:r w:rsidR="007F6F97">
        <w:rPr>
          <w:rFonts w:ascii="Times New Roman" w:hAnsi="Times New Roman" w:cs="Times New Roman"/>
          <w:b/>
          <w:sz w:val="28"/>
          <w:szCs w:val="28"/>
        </w:rPr>
        <w:t>23</w:t>
      </w:r>
      <w:r w:rsidR="00BB65FE">
        <w:rPr>
          <w:rFonts w:ascii="Times New Roman" w:hAnsi="Times New Roman" w:cs="Times New Roman"/>
          <w:b/>
          <w:sz w:val="28"/>
          <w:szCs w:val="28"/>
        </w:rPr>
        <w:t xml:space="preserve"> годы</w:t>
      </w:r>
    </w:p>
    <w:p w:rsidR="00BB65FE" w:rsidRPr="00BB65FE" w:rsidRDefault="00545C0A" w:rsidP="00B141B5">
      <w:pPr>
        <w:jc w:val="both"/>
        <w:rPr>
          <w:rFonts w:ascii="Times New Roman" w:hAnsi="Times New Roman" w:cs="Times New Roman"/>
          <w:sz w:val="28"/>
          <w:szCs w:val="28"/>
        </w:rPr>
      </w:pPr>
      <w:r>
        <w:rPr>
          <w:rFonts w:ascii="Times New Roman" w:hAnsi="Times New Roman" w:cs="Times New Roman"/>
          <w:b/>
          <w:sz w:val="28"/>
          <w:szCs w:val="28"/>
        </w:rPr>
        <w:t>Дата</w:t>
      </w:r>
      <w:r w:rsidR="00BB65FE" w:rsidRPr="00BB65FE">
        <w:rPr>
          <w:rFonts w:ascii="Times New Roman" w:hAnsi="Times New Roman" w:cs="Times New Roman"/>
          <w:b/>
          <w:sz w:val="28"/>
          <w:szCs w:val="28"/>
        </w:rPr>
        <w:t xml:space="preserve"> проведения:</w:t>
      </w:r>
      <w:r w:rsidR="00BB65FE">
        <w:rPr>
          <w:rFonts w:ascii="Times New Roman" w:hAnsi="Times New Roman" w:cs="Times New Roman"/>
          <w:sz w:val="28"/>
          <w:szCs w:val="28"/>
        </w:rPr>
        <w:t xml:space="preserve"> м</w:t>
      </w:r>
      <w:r w:rsidR="00BB65FE" w:rsidRPr="00BB65FE">
        <w:rPr>
          <w:rFonts w:ascii="Times New Roman" w:hAnsi="Times New Roman" w:cs="Times New Roman"/>
          <w:sz w:val="28"/>
          <w:szCs w:val="28"/>
        </w:rPr>
        <w:t xml:space="preserve">ониторинг </w:t>
      </w:r>
      <w:r w:rsidR="00BB65FE">
        <w:rPr>
          <w:rFonts w:ascii="Times New Roman" w:hAnsi="Times New Roman" w:cs="Times New Roman"/>
          <w:sz w:val="28"/>
          <w:szCs w:val="28"/>
        </w:rPr>
        <w:t xml:space="preserve"> по музыкальному развитию детей проводи</w:t>
      </w:r>
      <w:r>
        <w:rPr>
          <w:rFonts w:ascii="Times New Roman" w:hAnsi="Times New Roman" w:cs="Times New Roman"/>
          <w:sz w:val="28"/>
          <w:szCs w:val="28"/>
        </w:rPr>
        <w:t>л</w:t>
      </w:r>
      <w:r w:rsidR="00BB65FE">
        <w:rPr>
          <w:rFonts w:ascii="Times New Roman" w:hAnsi="Times New Roman" w:cs="Times New Roman"/>
          <w:sz w:val="28"/>
          <w:szCs w:val="28"/>
        </w:rPr>
        <w:t>ся 2 раза в год: октябрь и май.</w:t>
      </w:r>
    </w:p>
    <w:p w:rsidR="00545C0A" w:rsidRPr="00545C0A" w:rsidRDefault="00BB65FE" w:rsidP="00B141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545C0A" w:rsidRPr="00545C0A">
        <w:rPr>
          <w:rFonts w:ascii="Times New Roman" w:hAnsi="Times New Roman" w:cs="Times New Roman"/>
          <w:sz w:val="28"/>
          <w:szCs w:val="28"/>
        </w:rPr>
        <w:t xml:space="preserve">с целью определениястепени освоения детьми </w:t>
      </w:r>
      <w:r w:rsidR="00545C0A">
        <w:rPr>
          <w:rFonts w:ascii="Times New Roman" w:hAnsi="Times New Roman" w:cs="Times New Roman"/>
          <w:sz w:val="28"/>
          <w:szCs w:val="28"/>
        </w:rPr>
        <w:t>образовательной программы</w:t>
      </w:r>
      <w:r w:rsidR="00545C0A" w:rsidRPr="00545C0A">
        <w:rPr>
          <w:rFonts w:ascii="Times New Roman" w:hAnsi="Times New Roman" w:cs="Times New Roman"/>
          <w:sz w:val="28"/>
          <w:szCs w:val="28"/>
        </w:rPr>
        <w:t xml:space="preserve">ивлияния образовательного процесса, организованного в дошкольном учреждении, наразвитие детей в </w:t>
      </w:r>
      <w:r w:rsidR="00545C0A">
        <w:rPr>
          <w:rFonts w:ascii="Times New Roman" w:hAnsi="Times New Roman" w:cs="Times New Roman"/>
          <w:sz w:val="28"/>
          <w:szCs w:val="28"/>
        </w:rPr>
        <w:t>период с 201</w:t>
      </w:r>
      <w:r w:rsidR="007F6F97">
        <w:rPr>
          <w:rFonts w:ascii="Times New Roman" w:hAnsi="Times New Roman" w:cs="Times New Roman"/>
          <w:sz w:val="28"/>
          <w:szCs w:val="28"/>
        </w:rPr>
        <w:t>8</w:t>
      </w:r>
      <w:r w:rsidR="00545C0A">
        <w:rPr>
          <w:rFonts w:ascii="Times New Roman" w:hAnsi="Times New Roman" w:cs="Times New Roman"/>
          <w:sz w:val="28"/>
          <w:szCs w:val="28"/>
        </w:rPr>
        <w:t xml:space="preserve">по </w:t>
      </w:r>
      <w:r w:rsidR="00545C0A" w:rsidRPr="00545C0A">
        <w:rPr>
          <w:rFonts w:ascii="Times New Roman" w:hAnsi="Times New Roman" w:cs="Times New Roman"/>
          <w:sz w:val="28"/>
          <w:szCs w:val="28"/>
        </w:rPr>
        <w:t>20</w:t>
      </w:r>
      <w:r w:rsidR="007F6F97">
        <w:rPr>
          <w:rFonts w:ascii="Times New Roman" w:hAnsi="Times New Roman" w:cs="Times New Roman"/>
          <w:sz w:val="28"/>
          <w:szCs w:val="28"/>
        </w:rPr>
        <w:t>23</w:t>
      </w:r>
      <w:r w:rsidR="00545C0A" w:rsidRPr="00545C0A">
        <w:rPr>
          <w:rFonts w:ascii="Times New Roman" w:hAnsi="Times New Roman" w:cs="Times New Roman"/>
          <w:sz w:val="28"/>
          <w:szCs w:val="28"/>
        </w:rPr>
        <w:t xml:space="preserve"> учебн</w:t>
      </w:r>
      <w:r w:rsidR="00545C0A">
        <w:rPr>
          <w:rFonts w:ascii="Times New Roman" w:hAnsi="Times New Roman" w:cs="Times New Roman"/>
          <w:sz w:val="28"/>
          <w:szCs w:val="28"/>
        </w:rPr>
        <w:t>ый</w:t>
      </w:r>
      <w:r w:rsidR="00545C0A" w:rsidRPr="00545C0A">
        <w:rPr>
          <w:rFonts w:ascii="Times New Roman" w:hAnsi="Times New Roman" w:cs="Times New Roman"/>
          <w:sz w:val="28"/>
          <w:szCs w:val="28"/>
        </w:rPr>
        <w:t xml:space="preserve"> годпроводился мониторинг достижения детьмипланируемых результатов освоения образовательной программы. В течение года данныймониторинг был проведен дважды.</w:t>
      </w:r>
    </w:p>
    <w:p w:rsidR="00545C0A" w:rsidRPr="00545C0A" w:rsidRDefault="00545C0A" w:rsidP="00B141B5">
      <w:pPr>
        <w:autoSpaceDE w:val="0"/>
        <w:autoSpaceDN w:val="0"/>
        <w:adjustRightInd w:val="0"/>
        <w:spacing w:after="0"/>
        <w:jc w:val="both"/>
        <w:rPr>
          <w:rFonts w:ascii="Times New Roman" w:hAnsi="Times New Roman" w:cs="Times New Roman"/>
          <w:color w:val="231F20"/>
          <w:sz w:val="28"/>
          <w:szCs w:val="28"/>
        </w:rPr>
      </w:pPr>
      <w:r w:rsidRPr="00545C0A">
        <w:rPr>
          <w:rFonts w:ascii="Times New Roman" w:hAnsi="Times New Roman" w:cs="Times New Roman"/>
          <w:b/>
          <w:bCs/>
          <w:color w:val="231F20"/>
          <w:sz w:val="28"/>
          <w:szCs w:val="28"/>
        </w:rPr>
        <w:t xml:space="preserve">Объектом </w:t>
      </w:r>
      <w:r w:rsidRPr="00545C0A">
        <w:rPr>
          <w:rFonts w:ascii="Times New Roman" w:hAnsi="Times New Roman" w:cs="Times New Roman"/>
          <w:color w:val="231F20"/>
          <w:sz w:val="28"/>
          <w:szCs w:val="28"/>
        </w:rPr>
        <w:t xml:space="preserve">мониторинга являются </w:t>
      </w:r>
      <w:r w:rsidR="00617642">
        <w:rPr>
          <w:rFonts w:ascii="Times New Roman" w:hAnsi="Times New Roman" w:cs="Times New Roman"/>
          <w:sz w:val="28"/>
          <w:szCs w:val="28"/>
        </w:rPr>
        <w:t xml:space="preserve">индивидуальные особенности, музыкальные способности ребенка, творческие способности в различных видах исполнительской деятельности, </w:t>
      </w:r>
      <w:r w:rsidRPr="00545C0A">
        <w:rPr>
          <w:rFonts w:ascii="Times New Roman" w:hAnsi="Times New Roman" w:cs="Times New Roman"/>
          <w:color w:val="231F20"/>
          <w:sz w:val="28"/>
          <w:szCs w:val="28"/>
        </w:rPr>
        <w:t>интеллектуальные и личностные качествавоспитанников.</w:t>
      </w:r>
    </w:p>
    <w:p w:rsidR="00545C0A" w:rsidRPr="00545C0A" w:rsidRDefault="00545C0A" w:rsidP="00B141B5">
      <w:pPr>
        <w:autoSpaceDE w:val="0"/>
        <w:autoSpaceDN w:val="0"/>
        <w:adjustRightInd w:val="0"/>
        <w:spacing w:after="0"/>
        <w:jc w:val="both"/>
        <w:rPr>
          <w:rFonts w:ascii="Times New Roman" w:hAnsi="Times New Roman" w:cs="Times New Roman"/>
          <w:color w:val="231F20"/>
          <w:sz w:val="28"/>
          <w:szCs w:val="28"/>
        </w:rPr>
      </w:pPr>
      <w:r w:rsidRPr="00545C0A">
        <w:rPr>
          <w:rFonts w:ascii="Times New Roman" w:hAnsi="Times New Roman" w:cs="Times New Roman"/>
          <w:b/>
          <w:bCs/>
          <w:color w:val="231F20"/>
          <w:sz w:val="28"/>
          <w:szCs w:val="28"/>
        </w:rPr>
        <w:t xml:space="preserve">Предметом </w:t>
      </w:r>
      <w:r w:rsidRPr="00545C0A">
        <w:rPr>
          <w:rFonts w:ascii="Times New Roman" w:hAnsi="Times New Roman" w:cs="Times New Roman"/>
          <w:color w:val="231F20"/>
          <w:sz w:val="28"/>
          <w:szCs w:val="28"/>
        </w:rPr>
        <w:t>мониторингового исследования являются навыки и умения детей.</w:t>
      </w:r>
    </w:p>
    <w:p w:rsidR="00545C0A" w:rsidRDefault="00545C0A" w:rsidP="00B141B5">
      <w:pPr>
        <w:jc w:val="both"/>
        <w:rPr>
          <w:rFonts w:ascii="Times New Roman" w:hAnsi="Times New Roman" w:cs="Times New Roman"/>
          <w:color w:val="231F20"/>
          <w:sz w:val="28"/>
          <w:szCs w:val="28"/>
        </w:rPr>
      </w:pPr>
      <w:r w:rsidRPr="00545C0A">
        <w:rPr>
          <w:rFonts w:ascii="Times New Roman" w:hAnsi="Times New Roman" w:cs="Times New Roman"/>
          <w:b/>
          <w:bCs/>
          <w:color w:val="231F20"/>
          <w:sz w:val="28"/>
          <w:szCs w:val="28"/>
        </w:rPr>
        <w:t xml:space="preserve">Субъект </w:t>
      </w:r>
      <w:r w:rsidRPr="00545C0A">
        <w:rPr>
          <w:rFonts w:ascii="Times New Roman" w:hAnsi="Times New Roman" w:cs="Times New Roman"/>
          <w:color w:val="231F20"/>
          <w:sz w:val="28"/>
          <w:szCs w:val="28"/>
        </w:rPr>
        <w:t>мониторинга – дети дошкольного возраста.</w:t>
      </w:r>
    </w:p>
    <w:p w:rsidR="00EA7DA1" w:rsidRPr="00EA7DA1" w:rsidRDefault="00EA7DA1" w:rsidP="00B141B5">
      <w:pPr>
        <w:autoSpaceDE w:val="0"/>
        <w:autoSpaceDN w:val="0"/>
        <w:adjustRightInd w:val="0"/>
        <w:spacing w:after="0"/>
        <w:jc w:val="both"/>
        <w:rPr>
          <w:rFonts w:ascii="Times New Roman" w:hAnsi="Times New Roman" w:cs="Times New Roman"/>
          <w:sz w:val="28"/>
          <w:szCs w:val="28"/>
        </w:rPr>
      </w:pPr>
      <w:proofErr w:type="spellStart"/>
      <w:r w:rsidRPr="00EA7DA1">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w:t>
      </w:r>
      <w:r w:rsidRPr="00EA7DA1">
        <w:rPr>
          <w:rFonts w:ascii="Times New Roman" w:hAnsi="Times New Roman" w:cs="Times New Roman"/>
          <w:sz w:val="28"/>
          <w:szCs w:val="28"/>
        </w:rPr>
        <w:t>образовательный процесс в</w:t>
      </w:r>
      <w:r>
        <w:rPr>
          <w:rFonts w:ascii="Times New Roman" w:hAnsi="Times New Roman" w:cs="Times New Roman"/>
          <w:sz w:val="28"/>
          <w:szCs w:val="28"/>
        </w:rPr>
        <w:t>о всех возрастных группах</w:t>
      </w:r>
      <w:r w:rsidRPr="00EA7DA1">
        <w:rPr>
          <w:rFonts w:ascii="Times New Roman" w:hAnsi="Times New Roman" w:cs="Times New Roman"/>
          <w:sz w:val="28"/>
          <w:szCs w:val="28"/>
        </w:rPr>
        <w:t xml:space="preserve"> выстроен на основе</w:t>
      </w:r>
      <w:r>
        <w:rPr>
          <w:rFonts w:ascii="Times New Roman" w:hAnsi="Times New Roman" w:cs="Times New Roman"/>
          <w:sz w:val="28"/>
          <w:szCs w:val="28"/>
        </w:rPr>
        <w:t xml:space="preserve"> П</w:t>
      </w:r>
      <w:r w:rsidRPr="00EA7DA1">
        <w:rPr>
          <w:rFonts w:ascii="Times New Roman" w:hAnsi="Times New Roman" w:cs="Times New Roman"/>
          <w:sz w:val="28"/>
          <w:szCs w:val="28"/>
        </w:rPr>
        <w:t>римерной основной общеобразовательной программы дошкольного образования «</w:t>
      </w:r>
      <w:proofErr w:type="spellStart"/>
      <w:r w:rsidRPr="00EA7DA1">
        <w:rPr>
          <w:rFonts w:ascii="Times New Roman" w:hAnsi="Times New Roman" w:cs="Times New Roman"/>
          <w:sz w:val="28"/>
          <w:szCs w:val="28"/>
        </w:rPr>
        <w:t>Отрождения</w:t>
      </w:r>
      <w:proofErr w:type="spellEnd"/>
      <w:r w:rsidRPr="00EA7DA1">
        <w:rPr>
          <w:rFonts w:ascii="Times New Roman" w:hAnsi="Times New Roman" w:cs="Times New Roman"/>
          <w:sz w:val="28"/>
          <w:szCs w:val="28"/>
        </w:rPr>
        <w:t xml:space="preserve"> до школы» под редакцией Н.Е. </w:t>
      </w:r>
      <w:proofErr w:type="spellStart"/>
      <w:r w:rsidRPr="00EA7DA1">
        <w:rPr>
          <w:rFonts w:ascii="Times New Roman" w:hAnsi="Times New Roman" w:cs="Times New Roman"/>
          <w:sz w:val="28"/>
          <w:szCs w:val="28"/>
        </w:rPr>
        <w:t>Вераксы</w:t>
      </w:r>
      <w:proofErr w:type="spellEnd"/>
      <w:r w:rsidRPr="00EA7DA1">
        <w:rPr>
          <w:rFonts w:ascii="Times New Roman" w:hAnsi="Times New Roman" w:cs="Times New Roman"/>
          <w:sz w:val="28"/>
          <w:szCs w:val="28"/>
        </w:rPr>
        <w:t>, Т.С.Комаровой, М.А.Васильевой.</w:t>
      </w:r>
      <w:r>
        <w:rPr>
          <w:rFonts w:ascii="Times New Roman" w:hAnsi="Times New Roman" w:cs="Times New Roman"/>
          <w:sz w:val="28"/>
          <w:szCs w:val="28"/>
        </w:rPr>
        <w:t xml:space="preserve"> Парциально </w:t>
      </w:r>
      <w:r w:rsidRPr="002C347D">
        <w:rPr>
          <w:rFonts w:ascii="Times New Roman" w:hAnsi="Times New Roman"/>
          <w:color w:val="000000"/>
          <w:sz w:val="28"/>
          <w:szCs w:val="28"/>
        </w:rPr>
        <w:t xml:space="preserve">использована программа по музыкальному воспитанию детей дошкольного возраста «Ладушки» И. </w:t>
      </w:r>
      <w:proofErr w:type="spellStart"/>
      <w:r w:rsidRPr="002C347D">
        <w:rPr>
          <w:rFonts w:ascii="Times New Roman" w:hAnsi="Times New Roman"/>
          <w:color w:val="000000"/>
          <w:sz w:val="28"/>
          <w:szCs w:val="28"/>
        </w:rPr>
        <w:t>Каплунова</w:t>
      </w:r>
      <w:proofErr w:type="spellEnd"/>
      <w:r w:rsidRPr="002C347D">
        <w:rPr>
          <w:rFonts w:ascii="Times New Roman" w:hAnsi="Times New Roman"/>
          <w:color w:val="000000"/>
          <w:sz w:val="28"/>
          <w:szCs w:val="28"/>
        </w:rPr>
        <w:t xml:space="preserve">, И. </w:t>
      </w:r>
      <w:proofErr w:type="spellStart"/>
      <w:r w:rsidRPr="002C347D">
        <w:rPr>
          <w:rFonts w:ascii="Times New Roman" w:hAnsi="Times New Roman"/>
          <w:color w:val="000000"/>
          <w:sz w:val="28"/>
          <w:szCs w:val="28"/>
        </w:rPr>
        <w:t>Новоскольцева</w:t>
      </w:r>
      <w:proofErr w:type="spellEnd"/>
      <w:r>
        <w:rPr>
          <w:rFonts w:ascii="Times New Roman" w:hAnsi="Times New Roman"/>
          <w:color w:val="000000"/>
          <w:sz w:val="28"/>
          <w:szCs w:val="28"/>
        </w:rPr>
        <w:t>.</w:t>
      </w:r>
    </w:p>
    <w:p w:rsidR="00545C0A" w:rsidRDefault="00941302" w:rsidP="00B141B5">
      <w:pPr>
        <w:jc w:val="both"/>
        <w:rPr>
          <w:rFonts w:ascii="Times New Roman" w:hAnsi="Times New Roman" w:cs="Times New Roman"/>
          <w:sz w:val="28"/>
          <w:szCs w:val="28"/>
        </w:rPr>
      </w:pPr>
      <w:r w:rsidRPr="00941302">
        <w:rPr>
          <w:rFonts w:ascii="Times New Roman" w:hAnsi="Times New Roman" w:cs="Times New Roman"/>
          <w:b/>
          <w:bCs/>
          <w:sz w:val="28"/>
          <w:szCs w:val="28"/>
        </w:rPr>
        <w:t xml:space="preserve">Частота проведения мониторинга: </w:t>
      </w:r>
      <w:r w:rsidRPr="00941302">
        <w:rPr>
          <w:rFonts w:ascii="Times New Roman" w:hAnsi="Times New Roman" w:cs="Times New Roman"/>
          <w:sz w:val="28"/>
          <w:szCs w:val="28"/>
        </w:rPr>
        <w:t>2 раза в год (октябрь, май).</w:t>
      </w:r>
    </w:p>
    <w:p w:rsidR="00941302" w:rsidRPr="00941302" w:rsidRDefault="00941302" w:rsidP="00B141B5">
      <w:pPr>
        <w:jc w:val="both"/>
        <w:rPr>
          <w:rFonts w:ascii="Times New Roman" w:hAnsi="Times New Roman" w:cs="Times New Roman"/>
          <w:sz w:val="28"/>
          <w:szCs w:val="28"/>
        </w:rPr>
      </w:pPr>
      <w:r w:rsidRPr="00941302">
        <w:rPr>
          <w:rFonts w:ascii="Times New Roman" w:hAnsi="Times New Roman" w:cs="Times New Roman"/>
          <w:b/>
          <w:bCs/>
          <w:sz w:val="28"/>
          <w:szCs w:val="28"/>
        </w:rPr>
        <w:t>Лица, которые осуществляли мониторинг:</w:t>
      </w:r>
      <w:r w:rsidRPr="00941302">
        <w:rPr>
          <w:rFonts w:ascii="Times New Roman" w:hAnsi="Times New Roman" w:cs="Times New Roman"/>
          <w:bCs/>
          <w:sz w:val="28"/>
          <w:szCs w:val="28"/>
        </w:rPr>
        <w:t>му</w:t>
      </w:r>
      <w:r>
        <w:rPr>
          <w:rFonts w:ascii="Times New Roman" w:hAnsi="Times New Roman" w:cs="Times New Roman"/>
          <w:bCs/>
          <w:sz w:val="28"/>
          <w:szCs w:val="28"/>
        </w:rPr>
        <w:t>зыкальный руководитель.</w:t>
      </w:r>
    </w:p>
    <w:p w:rsidR="00941302" w:rsidRPr="00941302" w:rsidRDefault="00941302" w:rsidP="00B141B5">
      <w:pPr>
        <w:autoSpaceDE w:val="0"/>
        <w:autoSpaceDN w:val="0"/>
        <w:adjustRightInd w:val="0"/>
        <w:spacing w:after="0"/>
        <w:jc w:val="both"/>
        <w:rPr>
          <w:rFonts w:ascii="Times New Roman" w:hAnsi="Times New Roman" w:cs="Times New Roman"/>
          <w:b/>
          <w:bCs/>
          <w:sz w:val="28"/>
          <w:szCs w:val="28"/>
        </w:rPr>
      </w:pPr>
      <w:r w:rsidRPr="00941302">
        <w:rPr>
          <w:rFonts w:ascii="Times New Roman" w:hAnsi="Times New Roman" w:cs="Times New Roman"/>
          <w:b/>
          <w:bCs/>
          <w:sz w:val="28"/>
          <w:szCs w:val="28"/>
        </w:rPr>
        <w:t>Сроки проведения:</w:t>
      </w:r>
    </w:p>
    <w:p w:rsidR="00941302" w:rsidRDefault="00941302" w:rsidP="00B141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 с</w:t>
      </w:r>
      <w:r w:rsidRPr="00941302">
        <w:rPr>
          <w:rFonts w:ascii="Times New Roman" w:hAnsi="Times New Roman" w:cs="Times New Roman"/>
          <w:sz w:val="28"/>
          <w:szCs w:val="28"/>
        </w:rPr>
        <w:t xml:space="preserve"> 2 октября по 14 октября</w:t>
      </w:r>
    </w:p>
    <w:p w:rsidR="00941302" w:rsidRDefault="00941302" w:rsidP="00B141B5">
      <w:pPr>
        <w:autoSpaceDE w:val="0"/>
        <w:autoSpaceDN w:val="0"/>
        <w:adjustRightInd w:val="0"/>
        <w:spacing w:after="0"/>
        <w:jc w:val="both"/>
        <w:rPr>
          <w:rFonts w:ascii="Times New Roman" w:hAnsi="Times New Roman" w:cs="Times New Roman"/>
          <w:sz w:val="28"/>
          <w:szCs w:val="28"/>
        </w:rPr>
      </w:pPr>
      <w:r w:rsidRPr="00941302">
        <w:rPr>
          <w:rFonts w:ascii="Times New Roman" w:hAnsi="Times New Roman" w:cs="Times New Roman"/>
          <w:sz w:val="28"/>
          <w:szCs w:val="28"/>
        </w:rPr>
        <w:t xml:space="preserve"> - с 14 апреля по 30 апреля </w:t>
      </w:r>
    </w:p>
    <w:p w:rsidR="00941302" w:rsidRDefault="00941302" w:rsidP="00B141B5">
      <w:pPr>
        <w:autoSpaceDE w:val="0"/>
        <w:autoSpaceDN w:val="0"/>
        <w:adjustRightInd w:val="0"/>
        <w:spacing w:after="0"/>
        <w:jc w:val="both"/>
        <w:rPr>
          <w:rFonts w:ascii="Times New Roman" w:hAnsi="Times New Roman" w:cs="Times New Roman"/>
          <w:sz w:val="28"/>
          <w:szCs w:val="28"/>
        </w:rPr>
      </w:pPr>
    </w:p>
    <w:p w:rsidR="00941302" w:rsidRPr="00941302" w:rsidRDefault="00941302" w:rsidP="00B141B5">
      <w:pPr>
        <w:jc w:val="both"/>
        <w:rPr>
          <w:rFonts w:ascii="Times New Roman" w:hAnsi="Times New Roman"/>
          <w:sz w:val="28"/>
          <w:szCs w:val="28"/>
        </w:rPr>
      </w:pPr>
      <w:r>
        <w:rPr>
          <w:rFonts w:ascii="Times New Roman" w:hAnsi="Times New Roman" w:cs="Times New Roman"/>
          <w:sz w:val="28"/>
          <w:szCs w:val="28"/>
        </w:rPr>
        <w:t>Музыкальным руководителем</w:t>
      </w:r>
      <w:r w:rsidRPr="00941302">
        <w:rPr>
          <w:rFonts w:ascii="Times New Roman" w:hAnsi="Times New Roman" w:cs="Times New Roman"/>
          <w:sz w:val="28"/>
          <w:szCs w:val="28"/>
        </w:rPr>
        <w:t xml:space="preserve"> осуществлялся мониторинг </w:t>
      </w:r>
      <w:r>
        <w:rPr>
          <w:rFonts w:ascii="Times New Roman" w:hAnsi="Times New Roman" w:cs="Times New Roman"/>
          <w:sz w:val="28"/>
          <w:szCs w:val="28"/>
        </w:rPr>
        <w:t>по разделам программы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Пение, песенное творчество», «Восприятие музыки»,</w:t>
      </w:r>
      <w:r>
        <w:rPr>
          <w:rFonts w:ascii="Times New Roman" w:hAnsi="Times New Roman"/>
          <w:b/>
          <w:sz w:val="28"/>
          <w:szCs w:val="28"/>
        </w:rPr>
        <w:t>«</w:t>
      </w:r>
      <w:r w:rsidRPr="00941302">
        <w:rPr>
          <w:rFonts w:ascii="Times New Roman" w:hAnsi="Times New Roman"/>
          <w:sz w:val="28"/>
          <w:szCs w:val="28"/>
        </w:rPr>
        <w:t>Музыкально – ритмические движения, танцевально – игровое творчество</w:t>
      </w:r>
      <w:r>
        <w:rPr>
          <w:rFonts w:ascii="Times New Roman" w:hAnsi="Times New Roman"/>
          <w:sz w:val="28"/>
          <w:szCs w:val="28"/>
        </w:rPr>
        <w:t>», «Игра на детских музыкальных инструментах» и выявлялся Уровень музыкального разви</w:t>
      </w:r>
      <w:r w:rsidR="00AC2774">
        <w:rPr>
          <w:rFonts w:ascii="Times New Roman" w:hAnsi="Times New Roman"/>
          <w:sz w:val="28"/>
          <w:szCs w:val="28"/>
        </w:rPr>
        <w:t>тия каждого ребенка и группы в целом.</w:t>
      </w:r>
    </w:p>
    <w:p w:rsidR="00941302" w:rsidRPr="00941302" w:rsidRDefault="00941302" w:rsidP="00B141B5">
      <w:pPr>
        <w:spacing w:after="0"/>
        <w:jc w:val="both"/>
        <w:rPr>
          <w:rFonts w:ascii="Times New Roman" w:hAnsi="Times New Roman" w:cs="Times New Roman"/>
          <w:sz w:val="28"/>
          <w:szCs w:val="28"/>
        </w:rPr>
      </w:pPr>
      <w:r w:rsidRPr="00941302">
        <w:rPr>
          <w:rFonts w:ascii="Times New Roman" w:hAnsi="Times New Roman" w:cs="Times New Roman"/>
          <w:sz w:val="28"/>
          <w:szCs w:val="28"/>
        </w:rPr>
        <w:lastRenderedPageBreak/>
        <w:t>Сбор информации основывался на использовании следующих методик:</w:t>
      </w:r>
    </w:p>
    <w:p w:rsidR="00941302" w:rsidRPr="00941302" w:rsidRDefault="00941302" w:rsidP="00B141B5">
      <w:pPr>
        <w:spacing w:after="0"/>
        <w:jc w:val="both"/>
        <w:rPr>
          <w:rFonts w:ascii="Times New Roman" w:hAnsi="Times New Roman" w:cs="Times New Roman"/>
          <w:sz w:val="28"/>
          <w:szCs w:val="28"/>
        </w:rPr>
      </w:pPr>
      <w:r w:rsidRPr="00941302">
        <w:rPr>
          <w:rFonts w:ascii="Times New Roman" w:hAnsi="Times New Roman" w:cs="Times New Roman"/>
          <w:sz w:val="28"/>
          <w:szCs w:val="28"/>
        </w:rPr>
        <w:t>- систематические наблюдения;</w:t>
      </w:r>
    </w:p>
    <w:p w:rsidR="00941302" w:rsidRPr="00941302" w:rsidRDefault="00941302" w:rsidP="00B141B5">
      <w:pPr>
        <w:spacing w:after="0"/>
        <w:jc w:val="both"/>
        <w:rPr>
          <w:rFonts w:ascii="Times New Roman" w:hAnsi="Times New Roman" w:cs="Times New Roman"/>
          <w:sz w:val="28"/>
          <w:szCs w:val="28"/>
        </w:rPr>
      </w:pPr>
      <w:r w:rsidRPr="00941302">
        <w:rPr>
          <w:rFonts w:ascii="Times New Roman" w:hAnsi="Times New Roman" w:cs="Times New Roman"/>
          <w:sz w:val="28"/>
          <w:szCs w:val="28"/>
        </w:rPr>
        <w:t>- организация специальной игровой деятельности</w:t>
      </w:r>
      <w:r w:rsidR="00B141B5">
        <w:rPr>
          <w:rFonts w:ascii="Times New Roman" w:hAnsi="Times New Roman" w:cs="Times New Roman"/>
          <w:sz w:val="28"/>
          <w:szCs w:val="28"/>
        </w:rPr>
        <w:t xml:space="preserve"> (творческие задания, музыкальные игры)</w:t>
      </w:r>
      <w:r w:rsidRPr="00941302">
        <w:rPr>
          <w:rFonts w:ascii="Times New Roman" w:hAnsi="Times New Roman" w:cs="Times New Roman"/>
          <w:sz w:val="28"/>
          <w:szCs w:val="28"/>
        </w:rPr>
        <w:t>;</w:t>
      </w:r>
    </w:p>
    <w:p w:rsidR="00941302" w:rsidRPr="00941302" w:rsidRDefault="00941302" w:rsidP="00B141B5">
      <w:pPr>
        <w:spacing w:after="0"/>
        <w:jc w:val="both"/>
        <w:rPr>
          <w:rFonts w:ascii="Times New Roman" w:hAnsi="Times New Roman" w:cs="Times New Roman"/>
          <w:sz w:val="28"/>
          <w:szCs w:val="28"/>
        </w:rPr>
      </w:pPr>
      <w:r w:rsidRPr="00941302">
        <w:rPr>
          <w:rFonts w:ascii="Times New Roman" w:hAnsi="Times New Roman" w:cs="Times New Roman"/>
          <w:sz w:val="28"/>
          <w:szCs w:val="28"/>
        </w:rPr>
        <w:t>- получение ответов на поставленные задачи через педагогические ситуации;</w:t>
      </w:r>
    </w:p>
    <w:p w:rsidR="00941302" w:rsidRDefault="00941302" w:rsidP="00B141B5">
      <w:pPr>
        <w:spacing w:after="0"/>
        <w:jc w:val="both"/>
        <w:rPr>
          <w:rFonts w:ascii="Times New Roman" w:hAnsi="Times New Roman" w:cs="Times New Roman"/>
          <w:sz w:val="28"/>
          <w:szCs w:val="28"/>
        </w:rPr>
      </w:pPr>
      <w:r w:rsidRPr="00941302">
        <w:rPr>
          <w:rFonts w:ascii="Times New Roman" w:hAnsi="Times New Roman" w:cs="Times New Roman"/>
          <w:sz w:val="28"/>
          <w:szCs w:val="28"/>
        </w:rPr>
        <w:t>- анализ продуктов детской деятельности.</w:t>
      </w:r>
    </w:p>
    <w:p w:rsidR="00B141B5" w:rsidRPr="00B141B5" w:rsidRDefault="00E33EA3" w:rsidP="00B141B5">
      <w:pPr>
        <w:spacing w:after="0"/>
        <w:jc w:val="both"/>
        <w:rPr>
          <w:rFonts w:ascii="Times New Roman" w:hAnsi="Times New Roman" w:cs="Times New Roman"/>
          <w:sz w:val="28"/>
          <w:szCs w:val="28"/>
        </w:rPr>
      </w:pPr>
      <w:r>
        <w:rPr>
          <w:rFonts w:ascii="Times New Roman" w:hAnsi="Times New Roman" w:cs="Times New Roman"/>
          <w:sz w:val="28"/>
          <w:szCs w:val="28"/>
        </w:rPr>
        <w:t xml:space="preserve">В рамках педагогического мониторинга в начале и в конце учебного года проводится оценка индивидуального развития детей, выявляются индивидуальные особенности, музыкальные способности ребенка, творческие способности в различных </w:t>
      </w:r>
      <w:r w:rsidR="00617642">
        <w:rPr>
          <w:rFonts w:ascii="Times New Roman" w:hAnsi="Times New Roman" w:cs="Times New Roman"/>
          <w:sz w:val="28"/>
          <w:szCs w:val="28"/>
        </w:rPr>
        <w:t xml:space="preserve">видах исполнительской деятельности. </w:t>
      </w:r>
      <w:r w:rsidR="00B141B5" w:rsidRPr="00B141B5">
        <w:rPr>
          <w:rFonts w:ascii="Times New Roman" w:hAnsi="Times New Roman" w:cs="Times New Roman"/>
          <w:sz w:val="28"/>
          <w:szCs w:val="28"/>
        </w:rPr>
        <w:t>В процессе мониторинга выделяются интеллектуальные и личностныекачества ребенка. Достижения детей оцениваются путем бесед, наблюдений, при помощисоздания педагогических ситуаций, организации игровой деятельности</w:t>
      </w:r>
      <w:r w:rsidR="00B141B5">
        <w:rPr>
          <w:rFonts w:ascii="Times New Roman" w:hAnsi="Times New Roman" w:cs="Times New Roman"/>
          <w:sz w:val="28"/>
          <w:szCs w:val="28"/>
        </w:rPr>
        <w:t xml:space="preserve"> (творческие задания, музыкальные игры)</w:t>
      </w:r>
      <w:r w:rsidR="00B141B5" w:rsidRPr="00B141B5">
        <w:rPr>
          <w:rFonts w:ascii="Times New Roman" w:hAnsi="Times New Roman" w:cs="Times New Roman"/>
          <w:sz w:val="28"/>
          <w:szCs w:val="28"/>
        </w:rPr>
        <w:t>, специальных диагностических материалов.</w:t>
      </w:r>
    </w:p>
    <w:p w:rsidR="00B141B5" w:rsidRPr="00B141B5" w:rsidRDefault="00B141B5" w:rsidP="00B141B5">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Мониторинг образовательного процессапозволил осуществитькомплексный подход к оценке уровня развития ребенка.</w:t>
      </w:r>
    </w:p>
    <w:p w:rsidR="00B141B5" w:rsidRPr="00B141B5" w:rsidRDefault="00B141B5" w:rsidP="00B141B5">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Основанием для сбора информации служили:</w:t>
      </w:r>
    </w:p>
    <w:p w:rsidR="00B141B5" w:rsidRPr="00B141B5" w:rsidRDefault="00B141B5" w:rsidP="00B141B5">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 систематические наблюдения;</w:t>
      </w:r>
    </w:p>
    <w:p w:rsidR="00B141B5" w:rsidRPr="00B141B5" w:rsidRDefault="00B141B5" w:rsidP="00B141B5">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 получение ответов на поставленные задачи через педагогические ситуации;</w:t>
      </w:r>
    </w:p>
    <w:p w:rsidR="00B141B5" w:rsidRPr="00B141B5" w:rsidRDefault="00B141B5" w:rsidP="00B141B5">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 анализ продуктов детской деятельности;</w:t>
      </w:r>
    </w:p>
    <w:p w:rsidR="00B141B5" w:rsidRPr="00B141B5" w:rsidRDefault="00B141B5" w:rsidP="00B141B5">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 организация специальной игровой деятельности</w:t>
      </w:r>
      <w:r>
        <w:rPr>
          <w:rFonts w:ascii="Times New Roman" w:hAnsi="Times New Roman" w:cs="Times New Roman"/>
          <w:sz w:val="28"/>
          <w:szCs w:val="28"/>
        </w:rPr>
        <w:t xml:space="preserve"> (творческие задания, музыкальные игры)</w:t>
      </w:r>
      <w:r w:rsidRPr="00B141B5">
        <w:rPr>
          <w:rFonts w:ascii="Times New Roman" w:hAnsi="Times New Roman" w:cs="Times New Roman"/>
          <w:sz w:val="28"/>
          <w:szCs w:val="28"/>
        </w:rPr>
        <w:t>.</w:t>
      </w:r>
    </w:p>
    <w:p w:rsidR="00B141B5" w:rsidRDefault="00B141B5" w:rsidP="000E1CFF">
      <w:pPr>
        <w:spacing w:after="0"/>
        <w:jc w:val="both"/>
        <w:rPr>
          <w:rFonts w:ascii="Times New Roman" w:hAnsi="Times New Roman" w:cs="Times New Roman"/>
          <w:sz w:val="28"/>
          <w:szCs w:val="28"/>
        </w:rPr>
      </w:pPr>
      <w:r w:rsidRPr="00B141B5">
        <w:rPr>
          <w:rFonts w:ascii="Times New Roman" w:hAnsi="Times New Roman" w:cs="Times New Roman"/>
          <w:sz w:val="28"/>
          <w:szCs w:val="28"/>
        </w:rPr>
        <w:t xml:space="preserve">Данные о результатах мониторинга заносились в </w:t>
      </w:r>
      <w:r w:rsidR="00E33EA3">
        <w:rPr>
          <w:rFonts w:ascii="Times New Roman" w:hAnsi="Times New Roman" w:cs="Times New Roman"/>
          <w:sz w:val="28"/>
          <w:szCs w:val="28"/>
        </w:rPr>
        <w:t xml:space="preserve">карты индивидуального </w:t>
      </w:r>
      <w:r w:rsidRPr="00B141B5">
        <w:rPr>
          <w:rFonts w:ascii="Times New Roman" w:hAnsi="Times New Roman" w:cs="Times New Roman"/>
          <w:sz w:val="28"/>
          <w:szCs w:val="28"/>
        </w:rPr>
        <w:t>развития ребенка.</w:t>
      </w:r>
    </w:p>
    <w:p w:rsidR="00B141B5" w:rsidRPr="00B141B5" w:rsidRDefault="00B141B5" w:rsidP="000E1CFF">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Сравнительный анализ показал положительную динамику освоения детьми</w:t>
      </w:r>
    </w:p>
    <w:p w:rsidR="00B141B5" w:rsidRDefault="00B141B5" w:rsidP="000E1CFF">
      <w:pPr>
        <w:autoSpaceDE w:val="0"/>
        <w:autoSpaceDN w:val="0"/>
        <w:adjustRightInd w:val="0"/>
        <w:spacing w:after="0"/>
        <w:jc w:val="both"/>
        <w:rPr>
          <w:rFonts w:ascii="Times New Roman" w:hAnsi="Times New Roman" w:cs="Times New Roman"/>
          <w:sz w:val="28"/>
          <w:szCs w:val="28"/>
        </w:rPr>
      </w:pPr>
      <w:r w:rsidRPr="00B141B5">
        <w:rPr>
          <w:rFonts w:ascii="Times New Roman" w:hAnsi="Times New Roman" w:cs="Times New Roman"/>
          <w:sz w:val="28"/>
          <w:szCs w:val="28"/>
        </w:rPr>
        <w:t>образовательной программы по всем</w:t>
      </w:r>
      <w:r>
        <w:rPr>
          <w:rFonts w:ascii="Times New Roman" w:hAnsi="Times New Roman" w:cs="Times New Roman"/>
          <w:sz w:val="28"/>
          <w:szCs w:val="28"/>
        </w:rPr>
        <w:t xml:space="preserve"> разделам программы</w:t>
      </w:r>
      <w:r w:rsidRPr="00B141B5">
        <w:rPr>
          <w:rFonts w:ascii="Times New Roman" w:hAnsi="Times New Roman" w:cs="Times New Roman"/>
          <w:sz w:val="28"/>
          <w:szCs w:val="28"/>
        </w:rPr>
        <w:t xml:space="preserve"> по сравнению с началом учебного года.</w:t>
      </w:r>
    </w:p>
    <w:p w:rsidR="00610A0D" w:rsidRDefault="00610A0D" w:rsidP="00610A0D">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2018 – 2019 учебный год</w:t>
      </w:r>
    </w:p>
    <w:p w:rsidR="00610A0D" w:rsidRDefault="00610A0D" w:rsidP="00610A0D">
      <w:pPr>
        <w:tabs>
          <w:tab w:val="left" w:pos="2385"/>
        </w:tabs>
        <w:jc w:val="center"/>
        <w:rPr>
          <w:rFonts w:ascii="Times New Roman" w:hAnsi="Times New Roman"/>
          <w:sz w:val="28"/>
          <w:szCs w:val="28"/>
        </w:rPr>
      </w:pPr>
      <w:r>
        <w:rPr>
          <w:rFonts w:ascii="Times New Roman" w:hAnsi="Times New Roman"/>
          <w:sz w:val="28"/>
          <w:szCs w:val="28"/>
        </w:rPr>
        <w:t>Средняя группа «Незабудки»</w:t>
      </w:r>
    </w:p>
    <w:p w:rsidR="00610A0D" w:rsidRDefault="00610A0D" w:rsidP="00610A0D">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10A0D" w:rsidRPr="007C12EE" w:rsidRDefault="00610A0D" w:rsidP="00610A0D">
      <w:pPr>
        <w:rPr>
          <w:rFonts w:ascii="Times New Roman" w:hAnsi="Times New Roman"/>
          <w:sz w:val="28"/>
          <w:szCs w:val="28"/>
        </w:rPr>
      </w:pPr>
    </w:p>
    <w:p w:rsidR="00610A0D" w:rsidRDefault="00610A0D" w:rsidP="00610A0D">
      <w:pPr>
        <w:tabs>
          <w:tab w:val="left" w:pos="2550"/>
        </w:tabs>
        <w:rPr>
          <w:rFonts w:ascii="Times New Roman" w:hAnsi="Times New Roman"/>
          <w:sz w:val="28"/>
          <w:szCs w:val="28"/>
        </w:rPr>
      </w:pPr>
      <w:r>
        <w:rPr>
          <w:noProof/>
        </w:rPr>
        <w:lastRenderedPageBreak/>
        <w:drawing>
          <wp:inline distT="0" distB="0" distL="0" distR="0">
            <wp:extent cx="5057775" cy="29527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10A0D" w:rsidRDefault="00610A0D" w:rsidP="00610A0D">
      <w:pPr>
        <w:rPr>
          <w:rFonts w:ascii="Times New Roman" w:hAnsi="Times New Roman"/>
          <w:sz w:val="28"/>
          <w:szCs w:val="28"/>
        </w:rPr>
      </w:pPr>
    </w:p>
    <w:p w:rsidR="00610A0D" w:rsidRPr="00033A96" w:rsidRDefault="00610A0D" w:rsidP="00610A0D">
      <w:pPr>
        <w:jc w:val="both"/>
        <w:rPr>
          <w:rFonts w:ascii="Times New Roman" w:hAnsi="Times New Roman"/>
          <w:sz w:val="28"/>
          <w:szCs w:val="28"/>
        </w:rPr>
      </w:pPr>
      <w:r w:rsidRPr="007B4C00">
        <w:rPr>
          <w:rFonts w:ascii="Times New Roman" w:hAnsi="Times New Roman"/>
          <w:b/>
          <w:sz w:val="28"/>
          <w:szCs w:val="28"/>
        </w:rPr>
        <w:t>Вывод:</w:t>
      </w:r>
      <w:r w:rsidR="00802137" w:rsidRPr="00802137">
        <w:rPr>
          <w:rFonts w:ascii="Times New Roman" w:hAnsi="Times New Roman"/>
          <w:sz w:val="28"/>
          <w:szCs w:val="28"/>
        </w:rPr>
        <w:t>по результатам данной диагностики видно, что</w:t>
      </w:r>
      <w:r w:rsidR="00802137">
        <w:rPr>
          <w:rFonts w:ascii="Times New Roman" w:hAnsi="Times New Roman"/>
          <w:sz w:val="28"/>
          <w:szCs w:val="28"/>
        </w:rPr>
        <w:t xml:space="preserve">к </w:t>
      </w:r>
      <w:r>
        <w:rPr>
          <w:rFonts w:ascii="Times New Roman" w:hAnsi="Times New Roman"/>
          <w:sz w:val="28"/>
          <w:szCs w:val="28"/>
        </w:rPr>
        <w:t>концу года произошла положительная динамика по всем показателям:высокий уровень музыкального развития составляет 20%, средний уровень 50%. Низкий уровень составил 30%, так как это дети, которые редко посещали детский сад и дети с нарушением координации движений. Все дети эмоционально отзываются на музыку, с удовольствием приходят на музыкальные занятия. У воспитанников значительно обогатился словарный запас, они стали чище интонировать мелодии песен. Дети этой группы освоили игру  на музыкальных инструментах (бубен, барабан, треугольник, маракасы, металлофон). Воспитанники исполняют песни, придумывают характерные движения для передачи музыкально – игрового образа. Воспитанники с большим интересом выступают на различных концертах, мероприятиях.</w:t>
      </w:r>
    </w:p>
    <w:p w:rsidR="00610A0D" w:rsidRDefault="00610A0D" w:rsidP="00610A0D">
      <w:pPr>
        <w:tabs>
          <w:tab w:val="left" w:pos="2385"/>
        </w:tabs>
        <w:jc w:val="center"/>
        <w:rPr>
          <w:rFonts w:ascii="Times New Roman" w:hAnsi="Times New Roman"/>
          <w:sz w:val="28"/>
          <w:szCs w:val="28"/>
        </w:rPr>
      </w:pPr>
      <w:r>
        <w:rPr>
          <w:rFonts w:ascii="Times New Roman" w:hAnsi="Times New Roman"/>
          <w:sz w:val="28"/>
          <w:szCs w:val="28"/>
        </w:rPr>
        <w:t>Средняя группа «Пчелки»</w:t>
      </w:r>
    </w:p>
    <w:p w:rsidR="00610A0D" w:rsidRDefault="00610A0D" w:rsidP="00610A0D">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10A0D" w:rsidRPr="007C12EE" w:rsidRDefault="00610A0D" w:rsidP="00610A0D">
      <w:pPr>
        <w:rPr>
          <w:rFonts w:ascii="Times New Roman" w:hAnsi="Times New Roman"/>
          <w:sz w:val="28"/>
          <w:szCs w:val="28"/>
        </w:rPr>
      </w:pPr>
    </w:p>
    <w:p w:rsidR="00610A0D" w:rsidRDefault="00610A0D" w:rsidP="00610A0D">
      <w:pPr>
        <w:tabs>
          <w:tab w:val="left" w:pos="2550"/>
        </w:tabs>
        <w:rPr>
          <w:rFonts w:ascii="Times New Roman" w:hAnsi="Times New Roman"/>
          <w:sz w:val="28"/>
          <w:szCs w:val="28"/>
        </w:rPr>
      </w:pPr>
      <w:r>
        <w:rPr>
          <w:noProof/>
        </w:rPr>
        <w:lastRenderedPageBreak/>
        <w:drawing>
          <wp:inline distT="0" distB="0" distL="0" distR="0">
            <wp:extent cx="5505450" cy="314325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0A0D" w:rsidRDefault="00610A0D" w:rsidP="00610A0D">
      <w:pPr>
        <w:rPr>
          <w:rFonts w:ascii="Times New Roman" w:hAnsi="Times New Roman"/>
          <w:sz w:val="28"/>
          <w:szCs w:val="28"/>
        </w:rPr>
      </w:pPr>
    </w:p>
    <w:p w:rsidR="00610A0D" w:rsidRPr="00033A96" w:rsidRDefault="00610A0D" w:rsidP="00610A0D">
      <w:pPr>
        <w:jc w:val="both"/>
        <w:rPr>
          <w:rFonts w:ascii="Times New Roman" w:hAnsi="Times New Roman"/>
          <w:sz w:val="28"/>
          <w:szCs w:val="28"/>
        </w:rPr>
      </w:pPr>
      <w:r w:rsidRPr="007B4C00">
        <w:rPr>
          <w:rFonts w:ascii="Times New Roman" w:hAnsi="Times New Roman"/>
          <w:b/>
          <w:sz w:val="28"/>
          <w:szCs w:val="28"/>
        </w:rPr>
        <w:t>Вывод</w:t>
      </w:r>
      <w:proofErr w:type="gramStart"/>
      <w:r w:rsidRPr="007B4C00">
        <w:rPr>
          <w:rFonts w:ascii="Times New Roman" w:hAnsi="Times New Roman"/>
          <w:b/>
          <w:sz w:val="28"/>
          <w:szCs w:val="28"/>
        </w:rPr>
        <w:t>:</w:t>
      </w:r>
      <w:r>
        <w:rPr>
          <w:rFonts w:ascii="Times New Roman" w:hAnsi="Times New Roman"/>
          <w:sz w:val="28"/>
          <w:szCs w:val="28"/>
        </w:rPr>
        <w:t>К</w:t>
      </w:r>
      <w:proofErr w:type="gramEnd"/>
      <w:r>
        <w:rPr>
          <w:rFonts w:ascii="Times New Roman" w:hAnsi="Times New Roman"/>
          <w:sz w:val="28"/>
          <w:szCs w:val="28"/>
        </w:rPr>
        <w:t xml:space="preserve"> концу года произошла положительная динамика по всем показателям:высокий уровень музыкального развития составляет 20%, средний уровень </w:t>
      </w:r>
      <w:r w:rsidRPr="00794563">
        <w:rPr>
          <w:rFonts w:ascii="Times New Roman" w:hAnsi="Times New Roman"/>
          <w:sz w:val="28"/>
          <w:szCs w:val="28"/>
        </w:rPr>
        <w:t>4</w:t>
      </w:r>
      <w:r>
        <w:rPr>
          <w:rFonts w:ascii="Times New Roman" w:hAnsi="Times New Roman"/>
          <w:sz w:val="28"/>
          <w:szCs w:val="28"/>
        </w:rPr>
        <w:t>3%, низкий уровень составил 37%, из -  за  прихода в группу новых детей. Все дети с удовольствием приходят на музыкальные занятия. У воспитанников значительно улучшилась координация между слухом и голосом,обогатился словарный запас. Дети этой группы освоили игру на музыкальных инструментах (бубен, барабан, треугольник, маракасы, металлофон). Им нравится танцевать, придумывать характерные движения для передачи музыкально – игрового образа. Также воспитанники активно поют песни и с большим интересом выступают на различных концертах, мероприятиях.</w:t>
      </w:r>
    </w:p>
    <w:p w:rsidR="00610A0D" w:rsidRDefault="00610A0D" w:rsidP="00610A0D">
      <w:pPr>
        <w:tabs>
          <w:tab w:val="left" w:pos="2385"/>
        </w:tabs>
        <w:jc w:val="center"/>
        <w:rPr>
          <w:rFonts w:ascii="Times New Roman" w:hAnsi="Times New Roman"/>
          <w:sz w:val="28"/>
          <w:szCs w:val="28"/>
        </w:rPr>
      </w:pPr>
      <w:r>
        <w:rPr>
          <w:rFonts w:ascii="Times New Roman" w:hAnsi="Times New Roman"/>
          <w:sz w:val="28"/>
          <w:szCs w:val="28"/>
        </w:rPr>
        <w:t>Средняя группа «Ромашки»</w:t>
      </w:r>
    </w:p>
    <w:p w:rsidR="00610A0D" w:rsidRDefault="00610A0D" w:rsidP="00610A0D">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10A0D" w:rsidRPr="007C12EE" w:rsidRDefault="00610A0D" w:rsidP="00610A0D">
      <w:pPr>
        <w:jc w:val="center"/>
        <w:rPr>
          <w:rFonts w:ascii="Times New Roman" w:hAnsi="Times New Roman"/>
          <w:sz w:val="28"/>
          <w:szCs w:val="28"/>
        </w:rPr>
      </w:pPr>
    </w:p>
    <w:p w:rsidR="00610A0D" w:rsidRDefault="00610A0D" w:rsidP="00610A0D">
      <w:pPr>
        <w:tabs>
          <w:tab w:val="left" w:pos="2550"/>
        </w:tabs>
        <w:rPr>
          <w:rFonts w:ascii="Times New Roman" w:hAnsi="Times New Roman"/>
          <w:sz w:val="28"/>
          <w:szCs w:val="28"/>
        </w:rPr>
      </w:pPr>
      <w:r>
        <w:rPr>
          <w:noProof/>
        </w:rPr>
        <w:lastRenderedPageBreak/>
        <w:drawing>
          <wp:inline distT="0" distB="0" distL="0" distR="0">
            <wp:extent cx="5505450" cy="314325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0A0D" w:rsidRDefault="00610A0D" w:rsidP="00610A0D">
      <w:pPr>
        <w:rPr>
          <w:rFonts w:ascii="Times New Roman" w:hAnsi="Times New Roman"/>
          <w:sz w:val="28"/>
          <w:szCs w:val="28"/>
        </w:rPr>
      </w:pPr>
    </w:p>
    <w:p w:rsidR="00610A0D" w:rsidRPr="00033A96" w:rsidRDefault="00610A0D" w:rsidP="00610A0D">
      <w:pPr>
        <w:jc w:val="both"/>
        <w:rPr>
          <w:rFonts w:ascii="Times New Roman" w:hAnsi="Times New Roman"/>
          <w:sz w:val="28"/>
          <w:szCs w:val="28"/>
        </w:rPr>
      </w:pPr>
      <w:r w:rsidRPr="007B4C00">
        <w:rPr>
          <w:rFonts w:ascii="Times New Roman" w:hAnsi="Times New Roman"/>
          <w:b/>
          <w:sz w:val="28"/>
          <w:szCs w:val="28"/>
        </w:rPr>
        <w:t>Вывод</w:t>
      </w:r>
      <w:proofErr w:type="gramStart"/>
      <w:r w:rsidRPr="007B4C00">
        <w:rPr>
          <w:rFonts w:ascii="Times New Roman" w:hAnsi="Times New Roman"/>
          <w:b/>
          <w:sz w:val="28"/>
          <w:szCs w:val="28"/>
        </w:rPr>
        <w:t>:</w:t>
      </w:r>
      <w:r>
        <w:rPr>
          <w:rFonts w:ascii="Times New Roman" w:hAnsi="Times New Roman"/>
          <w:sz w:val="28"/>
          <w:szCs w:val="28"/>
        </w:rPr>
        <w:t>К</w:t>
      </w:r>
      <w:proofErr w:type="gramEnd"/>
      <w:r>
        <w:rPr>
          <w:rFonts w:ascii="Times New Roman" w:hAnsi="Times New Roman"/>
          <w:sz w:val="28"/>
          <w:szCs w:val="28"/>
        </w:rPr>
        <w:t xml:space="preserve"> концу года произошла положительная динамика по всем показателям:высокий уровень музыкального развития составляет 4%, средний уровень 46%. Низкий уровень составил 50%  из – за прихода в группу новых детей. Все дети эмоционально отзываются на музыку, с удовольствием приходят на музыкальные занятия, любят играть на музыкальных инструментах (бубен, барабан, треугольник, маракасы, металлофон). Они исполняют песни, придумывают характерные движения для передачи музыкально – игрового образа. Воспитанники с большим интересом выступают на различных концертах, мероприятиях.</w:t>
      </w:r>
    </w:p>
    <w:p w:rsidR="00610A0D" w:rsidRDefault="00610A0D" w:rsidP="00610A0D">
      <w:pPr>
        <w:tabs>
          <w:tab w:val="left" w:pos="2385"/>
        </w:tabs>
        <w:jc w:val="center"/>
        <w:rPr>
          <w:rFonts w:ascii="Times New Roman" w:hAnsi="Times New Roman"/>
          <w:sz w:val="28"/>
          <w:szCs w:val="28"/>
        </w:rPr>
      </w:pPr>
      <w:r>
        <w:rPr>
          <w:rFonts w:ascii="Times New Roman" w:hAnsi="Times New Roman"/>
          <w:sz w:val="28"/>
          <w:szCs w:val="28"/>
        </w:rPr>
        <w:t>Средняя группа «Васильки»</w:t>
      </w:r>
    </w:p>
    <w:p w:rsidR="00610A0D" w:rsidRDefault="00610A0D" w:rsidP="00610A0D">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10A0D" w:rsidRPr="007C12EE" w:rsidRDefault="00610A0D" w:rsidP="00610A0D">
      <w:pPr>
        <w:jc w:val="center"/>
        <w:rPr>
          <w:rFonts w:ascii="Times New Roman" w:hAnsi="Times New Roman"/>
          <w:sz w:val="28"/>
          <w:szCs w:val="28"/>
        </w:rPr>
      </w:pPr>
    </w:p>
    <w:p w:rsidR="00610A0D" w:rsidRDefault="00610A0D" w:rsidP="00610A0D">
      <w:pPr>
        <w:tabs>
          <w:tab w:val="left" w:pos="2550"/>
        </w:tabs>
        <w:rPr>
          <w:rFonts w:ascii="Times New Roman" w:hAnsi="Times New Roman"/>
          <w:sz w:val="28"/>
          <w:szCs w:val="28"/>
        </w:rPr>
      </w:pPr>
      <w:r>
        <w:rPr>
          <w:noProof/>
        </w:rPr>
        <w:lastRenderedPageBreak/>
        <w:drawing>
          <wp:inline distT="0" distB="0" distL="0" distR="0">
            <wp:extent cx="5953125" cy="3343275"/>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0A0D" w:rsidRDefault="00610A0D" w:rsidP="00610A0D">
      <w:pPr>
        <w:rPr>
          <w:rFonts w:ascii="Times New Roman" w:hAnsi="Times New Roman"/>
          <w:sz w:val="28"/>
          <w:szCs w:val="28"/>
        </w:rPr>
      </w:pPr>
    </w:p>
    <w:p w:rsidR="00610A0D" w:rsidRPr="00033A96" w:rsidRDefault="00610A0D" w:rsidP="00610A0D">
      <w:pPr>
        <w:jc w:val="both"/>
        <w:rPr>
          <w:rFonts w:ascii="Times New Roman" w:hAnsi="Times New Roman"/>
          <w:sz w:val="28"/>
          <w:szCs w:val="28"/>
        </w:rPr>
      </w:pPr>
      <w:r w:rsidRPr="007B4C00">
        <w:rPr>
          <w:rFonts w:ascii="Times New Roman" w:hAnsi="Times New Roman"/>
          <w:b/>
          <w:sz w:val="28"/>
          <w:szCs w:val="28"/>
        </w:rPr>
        <w:t>Вывод:</w:t>
      </w:r>
      <w:r w:rsidR="00802137">
        <w:rPr>
          <w:rFonts w:ascii="Times New Roman" w:hAnsi="Times New Roman" w:cs="Times New Roman"/>
          <w:sz w:val="28"/>
          <w:szCs w:val="28"/>
        </w:rPr>
        <w:t xml:space="preserve">Наблюдается положительная динамика по всем показателям. </w:t>
      </w:r>
      <w:r w:rsidR="00802137">
        <w:rPr>
          <w:rFonts w:ascii="Times New Roman" w:hAnsi="Times New Roman"/>
          <w:sz w:val="28"/>
          <w:szCs w:val="28"/>
        </w:rPr>
        <w:t>В</w:t>
      </w:r>
      <w:r>
        <w:rPr>
          <w:rFonts w:ascii="Times New Roman" w:hAnsi="Times New Roman"/>
          <w:sz w:val="28"/>
          <w:szCs w:val="28"/>
        </w:rPr>
        <w:t>ысокий уровень музыкального развития составляет 11%, средний уровень 50%. Низкий уровень составил 39%, так как это дети с плохой координацией между слухом и голосом и нарушением координации движений. Все дети эмоционально отзываются на музыку, с удовольствием приходят на музыкальные занятия, любят играть на музыкальных инструментах (бубен, барабан, треугольник, маракасы, металлофон). Они исполняют песни, придумывают характерные движения для передачи музыкально – игрового образа. Воспитанники с большим интересом выступают на различных концертах, мероприятиях.</w:t>
      </w:r>
    </w:p>
    <w:p w:rsidR="00610A0D" w:rsidRPr="00610A0D" w:rsidRDefault="00610A0D" w:rsidP="00610A0D">
      <w:pPr>
        <w:tabs>
          <w:tab w:val="left" w:pos="915"/>
        </w:tabs>
        <w:jc w:val="center"/>
        <w:rPr>
          <w:rFonts w:ascii="Times New Roman" w:hAnsi="Times New Roman" w:cs="Times New Roman"/>
          <w:b/>
          <w:sz w:val="28"/>
          <w:szCs w:val="28"/>
        </w:rPr>
      </w:pPr>
      <w:r w:rsidRPr="00610A0D">
        <w:rPr>
          <w:rFonts w:ascii="Times New Roman" w:hAnsi="Times New Roman" w:cs="Times New Roman"/>
          <w:b/>
          <w:sz w:val="28"/>
          <w:szCs w:val="28"/>
        </w:rPr>
        <w:t>2019 – 2020 учебный год</w:t>
      </w:r>
    </w:p>
    <w:p w:rsidR="00610A0D" w:rsidRDefault="00610A0D" w:rsidP="00610A0D">
      <w:pPr>
        <w:tabs>
          <w:tab w:val="left" w:pos="2385"/>
        </w:tabs>
        <w:jc w:val="center"/>
        <w:rPr>
          <w:rFonts w:ascii="Times New Roman" w:hAnsi="Times New Roman"/>
          <w:sz w:val="28"/>
          <w:szCs w:val="28"/>
        </w:rPr>
      </w:pPr>
      <w:r>
        <w:rPr>
          <w:rFonts w:ascii="Times New Roman" w:hAnsi="Times New Roman"/>
          <w:sz w:val="28"/>
          <w:szCs w:val="28"/>
        </w:rPr>
        <w:t>Старшая группа «Ромашки»</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52%, средний уровень 38%. Низкий уровень составил 10%, так как это дети, которые редко посещали детский сад и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 большим интересом разучивают различные танцы, песни, очень любят импровизировать, сочинять собственные мелодии и танцевальные композиции. Дети с удовольствием слушают и анализируют музыкальные произведения, в результате чего у них развивается связная речь, значительно обогатился словарный запас, они стали чище интонировать мелодии песен. </w:t>
      </w:r>
      <w:proofErr w:type="gramStart"/>
      <w:r>
        <w:rPr>
          <w:rFonts w:ascii="Times New Roman" w:hAnsi="Times New Roman"/>
          <w:sz w:val="28"/>
          <w:szCs w:val="28"/>
        </w:rPr>
        <w:t xml:space="preserve">Дети этой группы освоили игру  на музыкальных инструментах (ксилофон, бубен, рубель, ложки, барабан, треугольник, маракасы, металлофон) и с большим интересом озвучивают музыкальные сказки – </w:t>
      </w:r>
      <w:proofErr w:type="spellStart"/>
      <w:r>
        <w:rPr>
          <w:rFonts w:ascii="Times New Roman" w:hAnsi="Times New Roman"/>
          <w:sz w:val="28"/>
          <w:szCs w:val="28"/>
        </w:rPr>
        <w:t>шумелки</w:t>
      </w:r>
      <w:proofErr w:type="spellEnd"/>
      <w:r>
        <w:rPr>
          <w:rFonts w:ascii="Times New Roman" w:hAnsi="Times New Roman"/>
          <w:sz w:val="28"/>
          <w:szCs w:val="28"/>
        </w:rPr>
        <w:t xml:space="preserve"> в оркестре.</w:t>
      </w:r>
      <w:proofErr w:type="gramEnd"/>
      <w:r>
        <w:rPr>
          <w:rFonts w:ascii="Times New Roman" w:hAnsi="Times New Roman"/>
          <w:sz w:val="28"/>
          <w:szCs w:val="28"/>
        </w:rPr>
        <w:t xml:space="preserve">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Старшая группа «Колокольчики»</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F0611A">
        <w:rPr>
          <w:rFonts w:ascii="Times New Roman" w:hAnsi="Times New Roman" w:cs="Times New Roman"/>
          <w:sz w:val="28"/>
          <w:szCs w:val="28"/>
        </w:rPr>
        <w:t>п</w:t>
      </w:r>
      <w:r w:rsidR="00F0611A" w:rsidRPr="002F778C">
        <w:rPr>
          <w:rFonts w:ascii="Times New Roman" w:hAnsi="Times New Roman" w:cs="Times New Roman"/>
          <w:sz w:val="28"/>
          <w:szCs w:val="28"/>
        </w:rPr>
        <w:t xml:space="preserve">о результатам данной диагностики видно, что уровень музыкального развития детейповысился: </w:t>
      </w:r>
      <w:r>
        <w:rPr>
          <w:rFonts w:ascii="Times New Roman" w:hAnsi="Times New Roman"/>
          <w:sz w:val="28"/>
          <w:szCs w:val="28"/>
        </w:rPr>
        <w:t xml:space="preserve">высокий уровень музыкального развития составляет 31%, средний уровень 58%. Низкий уровень составил 11%, так как это дети, которые редко посещали детский сад и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сочиняют собственные мелодии и танцевальные композиции. Дети с удовольствием слушают и анализируют музыкальные произведения, в результате чего у них развивается связная речь, значительно обогатился словарный запас.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оркестре.</w:t>
      </w:r>
      <w:proofErr w:type="gramEnd"/>
      <w:r>
        <w:rPr>
          <w:rFonts w:ascii="Times New Roman" w:hAnsi="Times New Roman"/>
          <w:sz w:val="28"/>
          <w:szCs w:val="28"/>
        </w:rPr>
        <w:t xml:space="preserve">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Старшая группа «Фантазеры»</w:t>
      </w:r>
    </w:p>
    <w:p w:rsidR="00C00FC5" w:rsidRPr="00DD349F" w:rsidRDefault="00C00FC5" w:rsidP="00C00FC5"/>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0FC5" w:rsidRDefault="00C00FC5" w:rsidP="00C00FC5"/>
    <w:p w:rsidR="00610A0D" w:rsidRDefault="00C00FC5" w:rsidP="00C00FC5">
      <w:pPr>
        <w:autoSpaceDE w:val="0"/>
        <w:autoSpaceDN w:val="0"/>
        <w:adjustRightInd w:val="0"/>
        <w:spacing w:after="0"/>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30%, средний уровень 44%. Низкий уровень составил 26%, так как это дети с ОВЗ, и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любят импровизировать, сочиняют собственные мелодии и танцевальные композиции. Дети с удовольствием слушают и анализируют музыкальные произведения, в результате чего у них развивается связная речь, значительно обогатился словарный запас.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оркестре.</w:t>
      </w:r>
      <w:proofErr w:type="gramEnd"/>
      <w:r>
        <w:rPr>
          <w:rFonts w:ascii="Times New Roman" w:hAnsi="Times New Roman"/>
          <w:sz w:val="28"/>
          <w:szCs w:val="28"/>
        </w:rPr>
        <w:t xml:space="preserve">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Старшая группа «</w:t>
      </w:r>
      <w:proofErr w:type="spellStart"/>
      <w:r>
        <w:rPr>
          <w:rFonts w:ascii="Times New Roman" w:hAnsi="Times New Roman"/>
          <w:sz w:val="28"/>
          <w:szCs w:val="28"/>
        </w:rPr>
        <w:t>Любознайки</w:t>
      </w:r>
      <w:proofErr w:type="spellEnd"/>
      <w:r>
        <w:rPr>
          <w:rFonts w:ascii="Times New Roman" w:hAnsi="Times New Roman"/>
          <w:sz w:val="28"/>
          <w:szCs w:val="28"/>
        </w:rPr>
        <w:t>»</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32%, средний уровень 52%. Низкий уровень составил 16%, так как это дети с ОВЗ и дети с нарушением двигательной координации. Все дети эмоционально отзываются на музыку, с удовольствием приходят на музыкальные занятия.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ансамбле ложкарей, в оркестре.</w:t>
      </w:r>
      <w:proofErr w:type="gramEnd"/>
      <w:r>
        <w:rPr>
          <w:rFonts w:ascii="Times New Roman" w:hAnsi="Times New Roman"/>
          <w:sz w:val="28"/>
          <w:szCs w:val="28"/>
        </w:rPr>
        <w:t xml:space="preserve"> Воспитанники стали чище интонировать мелодии песен, любят импровизировать, с большим интересом разучивают различные песни, танцы, сочиняют собственные мелодии и танцевальные композиции. Дети с удовольствием слушают и анализируют музыкальные произведения, в результате чего у них развивается связная речь, значительно обогатился словарный запас.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«Почемучки»</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F0611A">
        <w:rPr>
          <w:rFonts w:ascii="Times New Roman" w:hAnsi="Times New Roman" w:cs="Times New Roman"/>
          <w:sz w:val="28"/>
          <w:szCs w:val="28"/>
        </w:rPr>
        <w:t>п</w:t>
      </w:r>
      <w:r w:rsidR="00F0611A" w:rsidRPr="002F778C">
        <w:rPr>
          <w:rFonts w:ascii="Times New Roman" w:hAnsi="Times New Roman" w:cs="Times New Roman"/>
          <w:sz w:val="28"/>
          <w:szCs w:val="28"/>
        </w:rPr>
        <w:t xml:space="preserve">о результатам данной диагностики видно, что уровень музыкального развития детейповысился: </w:t>
      </w:r>
      <w:r>
        <w:rPr>
          <w:rFonts w:ascii="Times New Roman" w:hAnsi="Times New Roman"/>
          <w:sz w:val="28"/>
          <w:szCs w:val="28"/>
        </w:rPr>
        <w:t>высокий уровень музыкального развития составляет 31%, средний уровень 65%. Низкий уровень составил 4%, так как это дети, которые редко посещали детский сад и дети с плохой координацией между слухом и голосом. Все дети эмоционально отзываются на музыку, очень любят петь песни про животных, про детей, с удовольствием приходят на музыкальные занятия. У воспитанников значительно обогатился словарный запас, они стали чище интонировать мелодии песен. Дети этой группы освоили приемы игры  на музыкальных инструментах (бубен, барабан, треугольник, ксилофон, металлофон) и полюбили играть в оркестре, а также в ансамбле ложкарей. Воспитанники любят импровизировать под музыку, придумывают характерные движения для передачи музыкально – игрового образа. Воспитанники с большим интересом выступают на различных концертах, мероприятиях.</w:t>
      </w:r>
    </w:p>
    <w:p w:rsidR="00C00FC5" w:rsidRDefault="00C00FC5" w:rsidP="00C00FC5">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2020 – 2021учебный год</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Средняя группа «Ромашки»</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33%, средний уровень 67%. Все дети эмоционально отзываются на музыку, с удовольствием приходят на музыкальные занятия. Воспитанники с большим интересом разучивают различные танцы, песни. </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Средняя группа «Колокольчики»</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Default="00C00FC5" w:rsidP="00C00FC5">
      <w:r w:rsidRPr="00DD349F">
        <w:rPr>
          <w:noProof/>
        </w:rPr>
        <w:drawing>
          <wp:inline distT="0" distB="0" distL="0" distR="0">
            <wp:extent cx="5486400" cy="3200400"/>
            <wp:effectExtent l="19050" t="0" r="1905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0FC5" w:rsidRDefault="00C00FC5" w:rsidP="00C00FC5"/>
    <w:p w:rsidR="00C00FC5"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19%, средний уровень 52%. Низкий уровень составил 29%, так как это дети, которые редко посещали детский сад и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«Эрудиты»</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drawing>
          <wp:inline distT="0" distB="0" distL="0" distR="0">
            <wp:extent cx="5486400" cy="3200400"/>
            <wp:effectExtent l="19050" t="0" r="19050"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F0611A">
        <w:rPr>
          <w:rFonts w:ascii="Times New Roman" w:hAnsi="Times New Roman" w:cs="Times New Roman"/>
          <w:sz w:val="28"/>
          <w:szCs w:val="28"/>
        </w:rPr>
        <w:t xml:space="preserve">Наблюдается положительная динамика по всем показателям. </w:t>
      </w:r>
      <w:r w:rsidR="00F0611A">
        <w:rPr>
          <w:rFonts w:ascii="Times New Roman" w:hAnsi="Times New Roman"/>
          <w:sz w:val="28"/>
          <w:szCs w:val="28"/>
        </w:rPr>
        <w:t>В</w:t>
      </w:r>
      <w:r>
        <w:rPr>
          <w:rFonts w:ascii="Times New Roman" w:hAnsi="Times New Roman"/>
          <w:sz w:val="28"/>
          <w:szCs w:val="28"/>
        </w:rPr>
        <w:t xml:space="preserve">ысокий уровень музыкального развития составляет 53%, средний уровень 47%.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любят импровизировать, сочиняют собственные мелодии и танцевальные композиции. Дети с интересом слушают и анализируют музыкальные произведения, в результате чего у них развивается связная речь, значительно обогатился словарный запас. Дети этой группы с большим интересом играют </w:t>
      </w:r>
      <w:r>
        <w:rPr>
          <w:rFonts w:ascii="Times New Roman" w:hAnsi="Times New Roman"/>
          <w:sz w:val="28"/>
          <w:szCs w:val="28"/>
        </w:rPr>
        <w:lastRenderedPageBreak/>
        <w:t>в оркестре.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w:t>
      </w:r>
      <w:proofErr w:type="spellStart"/>
      <w:r>
        <w:rPr>
          <w:rFonts w:ascii="Times New Roman" w:hAnsi="Times New Roman"/>
          <w:sz w:val="28"/>
          <w:szCs w:val="28"/>
        </w:rPr>
        <w:t>Любознайки</w:t>
      </w:r>
      <w:proofErr w:type="spellEnd"/>
      <w:r>
        <w:rPr>
          <w:rFonts w:ascii="Times New Roman" w:hAnsi="Times New Roman"/>
          <w:sz w:val="28"/>
          <w:szCs w:val="28"/>
        </w:rPr>
        <w:t>»</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drawing>
          <wp:inline distT="0" distB="0" distL="0" distR="0">
            <wp:extent cx="5486400" cy="3200400"/>
            <wp:effectExtent l="19050" t="0" r="1905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50%, средний уровень 38%. Низкий уровень составил 12%, так как это дети с ОВЗ. Все дети эмоционально отзываются на музыку, с удовольствием приходят на музыкальные занятия.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ансамбле ложкарей, в оркестре.</w:t>
      </w:r>
      <w:proofErr w:type="gramEnd"/>
      <w:r>
        <w:rPr>
          <w:rFonts w:ascii="Times New Roman" w:hAnsi="Times New Roman"/>
          <w:sz w:val="28"/>
          <w:szCs w:val="28"/>
        </w:rPr>
        <w:t xml:space="preserve"> Воспитанники стали чище интонировать мелодии песен, любят импровизировать, с большим интересом разучивают различные песни, танцы, сочиняют собственные мелодии и танцевальные композиции.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«Почемучки»</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F0611A">
        <w:rPr>
          <w:rFonts w:ascii="Times New Roman" w:hAnsi="Times New Roman"/>
          <w:sz w:val="28"/>
          <w:szCs w:val="28"/>
        </w:rPr>
        <w:t xml:space="preserve">по результатам данной диагностики видно, что </w:t>
      </w:r>
      <w:r>
        <w:rPr>
          <w:rFonts w:ascii="Times New Roman" w:hAnsi="Times New Roman"/>
          <w:sz w:val="28"/>
          <w:szCs w:val="28"/>
        </w:rPr>
        <w:t>произошла положительная динамика по всем показателям:высокий уровень музыкального развития составляет 55%, средний уровень 40%. Низкий уровень составил 5%, так как это ребенок с ОВЗ. Все дети эмоционально отзываются на музыку, очень любят петь песни, с удовольствием приходят на музыкальные занятия. У воспитанников значительно обогатился словарный запас, они стали чище интонировать мелодии песен. Дети этой группы освоили приемы игры  на музыкальных инструментах (бубен, барабан, треугольник, ксилофон, металлофон) и полюбили играть в оркестре, а также в ансамбле ложкарей. Воспитанники любят импровизировать под музыку, придумывают характерные движения для передачи музыкально – игрового образа. Воспитанники с большим интересом выступают на различных концертах, мероприятиях.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«Фантазеры»</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410127" w:rsidP="00C00FC5">
      <w:r w:rsidRPr="00DD349F">
        <w:rPr>
          <w:noProof/>
        </w:rPr>
        <w:lastRenderedPageBreak/>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0" w:name="_GoBack"/>
      <w:bookmarkEnd w:id="0"/>
    </w:p>
    <w:p w:rsidR="00C00FC5" w:rsidRDefault="00C00FC5" w:rsidP="00C00FC5"/>
    <w:p w:rsidR="00410127" w:rsidRPr="00033A96" w:rsidRDefault="00410127" w:rsidP="00410127">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40%, средний уровень 55%. Низкий уровень составил 5%, так как это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любят импровизировать, сочиняют собственные мелодии и танцевальные композиции. Дети с интересом слушают и анализируют музыкальные произведения, в результате чего у них развивается связная речь, значительно обогатился словарный запас.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оркестре.</w:t>
      </w:r>
      <w:proofErr w:type="gramEnd"/>
      <w:r>
        <w:rPr>
          <w:rFonts w:ascii="Times New Roman" w:hAnsi="Times New Roman"/>
          <w:sz w:val="28"/>
          <w:szCs w:val="28"/>
        </w:rPr>
        <w:t xml:space="preserve">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2021  -2022 учебный год</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Средняя группа «Ромашки»</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124A16">
        <w:rPr>
          <w:rFonts w:ascii="Times New Roman" w:hAnsi="Times New Roman" w:cs="Times New Roman"/>
          <w:sz w:val="28"/>
          <w:szCs w:val="28"/>
        </w:rPr>
        <w:t xml:space="preserve">Наблюдается положительная динамика по всем показателям. </w:t>
      </w:r>
      <w:r w:rsidR="00124A16">
        <w:rPr>
          <w:rFonts w:ascii="Times New Roman" w:hAnsi="Times New Roman"/>
          <w:sz w:val="28"/>
          <w:szCs w:val="28"/>
        </w:rPr>
        <w:t>В</w:t>
      </w:r>
      <w:r>
        <w:rPr>
          <w:rFonts w:ascii="Times New Roman" w:hAnsi="Times New Roman"/>
          <w:sz w:val="28"/>
          <w:szCs w:val="28"/>
        </w:rPr>
        <w:t>ысокий уровень музыкального развития составляет 33%, средний уровень 67%. Все дети эмоционально отзываются на музыку, с удовольствием приходят на музыкальные занятия. Воспитанники с большим интересом разучивают различные танцы, песни.</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Средняя группа «Колокольчики»</w:t>
      </w:r>
      <w:r>
        <w:rPr>
          <w:rFonts w:ascii="Times New Roman" w:hAnsi="Times New Roman"/>
          <w:sz w:val="28"/>
          <w:szCs w:val="28"/>
        </w:rPr>
        <w:tab/>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Default="00C00FC5" w:rsidP="00C00FC5">
      <w:r w:rsidRPr="00DD349F">
        <w:rPr>
          <w:noProof/>
        </w:rPr>
        <w:drawing>
          <wp:inline distT="0" distB="0" distL="0" distR="0">
            <wp:extent cx="5486400" cy="3200400"/>
            <wp:effectExtent l="19050" t="0" r="19050" b="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00FC5" w:rsidRDefault="00C00FC5" w:rsidP="00C00FC5"/>
    <w:p w:rsidR="00C00FC5"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124A16">
        <w:rPr>
          <w:rFonts w:ascii="Times New Roman" w:hAnsi="Times New Roman" w:cs="Times New Roman"/>
          <w:sz w:val="28"/>
          <w:szCs w:val="28"/>
        </w:rPr>
        <w:t xml:space="preserve">Наблюдается положительная динамика по всем показателям. </w:t>
      </w:r>
      <w:r w:rsidR="00124A16">
        <w:rPr>
          <w:rFonts w:ascii="Times New Roman" w:hAnsi="Times New Roman"/>
          <w:sz w:val="28"/>
          <w:szCs w:val="28"/>
        </w:rPr>
        <w:t xml:space="preserve"> В</w:t>
      </w:r>
      <w:r>
        <w:rPr>
          <w:rFonts w:ascii="Times New Roman" w:hAnsi="Times New Roman"/>
          <w:sz w:val="28"/>
          <w:szCs w:val="28"/>
        </w:rPr>
        <w:t>ысокий уровень музыкального развития составляет 19%, средний уровень 52%. Низкий уровень составил 29%, так как это дети, которые редко посещали детский сад и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Старшая группа «Фантазеры»</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drawing>
          <wp:inline distT="0" distB="0" distL="0" distR="0">
            <wp:extent cx="5486400" cy="3200400"/>
            <wp:effectExtent l="19050" t="0" r="19050"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53%, средний уровень 47%. Все дети эмоционально отзываются на музыку, с удовольствием приходят на музыкальные занятия. Воспитанники с большим интересом разучивают различные песни, танцы, любят импровизировать, сочиняют собственные мелодии и танцевальные композиции. Дети с интересом слушают и анализируют музыкальные произведения, в результате чего у них развивается связная речь, значительно обогатился словарный запас. Дети этой группы с большим интересом играют в оркестре. </w:t>
      </w:r>
      <w:r>
        <w:rPr>
          <w:rFonts w:ascii="Times New Roman" w:hAnsi="Times New Roman"/>
          <w:sz w:val="28"/>
          <w:szCs w:val="28"/>
        </w:rPr>
        <w:lastRenderedPageBreak/>
        <w:t>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autoSpaceDE w:val="0"/>
        <w:autoSpaceDN w:val="0"/>
        <w:adjustRightInd w:val="0"/>
        <w:spacing w:after="0"/>
        <w:jc w:val="center"/>
        <w:rPr>
          <w:rFonts w:ascii="Times New Roman" w:hAnsi="Times New Roman"/>
          <w:sz w:val="28"/>
          <w:szCs w:val="28"/>
        </w:rPr>
      </w:pPr>
      <w:r w:rsidRPr="00C00FC5">
        <w:rPr>
          <w:rFonts w:ascii="Times New Roman" w:hAnsi="Times New Roman"/>
          <w:sz w:val="28"/>
          <w:szCs w:val="28"/>
        </w:rPr>
        <w:t>Подготовительная группа «</w:t>
      </w:r>
      <w:proofErr w:type="spellStart"/>
      <w:r w:rsidRPr="00C00FC5">
        <w:rPr>
          <w:rFonts w:ascii="Times New Roman" w:hAnsi="Times New Roman"/>
          <w:sz w:val="28"/>
          <w:szCs w:val="28"/>
        </w:rPr>
        <w:t>Любознайки</w:t>
      </w:r>
      <w:proofErr w:type="spellEnd"/>
      <w:r w:rsidRPr="00C00FC5">
        <w:rPr>
          <w:rFonts w:ascii="Times New Roman" w:hAnsi="Times New Roman"/>
          <w:sz w:val="28"/>
          <w:szCs w:val="28"/>
        </w:rPr>
        <w:t>»</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drawing>
          <wp:inline distT="0" distB="0" distL="0" distR="0">
            <wp:extent cx="5486400" cy="3200400"/>
            <wp:effectExtent l="19050" t="0" r="19050" b="0"/>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К концу года произошла положительная динамика по всем показателям:высокий уровень музыкального развития составляет 50%, средний уровень 38%. Низкий уровень составил 12%, так как это дети с ОВЗ.Все дети эмоционально отзываются на музыку, с удовольствием приходят на музыкальные занятия. 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ансамбле ложкарей, в оркестре</w:t>
      </w:r>
      <w:proofErr w:type="gramStart"/>
      <w:r>
        <w:rPr>
          <w:rFonts w:ascii="Times New Roman" w:hAnsi="Times New Roman"/>
          <w:sz w:val="28"/>
          <w:szCs w:val="28"/>
        </w:rPr>
        <w:t>.В</w:t>
      </w:r>
      <w:proofErr w:type="gramEnd"/>
      <w:r>
        <w:rPr>
          <w:rFonts w:ascii="Times New Roman" w:hAnsi="Times New Roman"/>
          <w:sz w:val="28"/>
          <w:szCs w:val="28"/>
        </w:rPr>
        <w:t>оспитанники стали чище интонировать мелодии песен, любят импровизировать, с большим интересом разучивают различные песни, танцы, сочиняют собственные мелодии и танцевальные композиции. Воспитанники активно выступают на различных мероприятиях, концертах, городских, всероссийских и международных конкурсах.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«Почемучки»</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sidR="00124A16">
        <w:rPr>
          <w:rFonts w:ascii="Times New Roman" w:hAnsi="Times New Roman"/>
          <w:sz w:val="28"/>
          <w:szCs w:val="28"/>
        </w:rPr>
        <w:t xml:space="preserve">по результатам данной диагностики видно, что произошла положительная динамика по всем </w:t>
      </w:r>
      <w:r>
        <w:rPr>
          <w:rFonts w:ascii="Times New Roman" w:hAnsi="Times New Roman"/>
          <w:sz w:val="28"/>
          <w:szCs w:val="28"/>
        </w:rPr>
        <w:t xml:space="preserve"> показателям:высокий уровень музыкального развития составляет 55%, средний уровень 40%. Низкий уровень составил 5%, так как это ребенок с ОВЗ. Все дети эмоционально отзываются на музыку, очень любят петь песни, с удовольствием приходят на музыкальные занятия. У воспитанников значительно обогатился словарный запас, они стали чище интонировать мелодии песен. Дети этой группы освоили приемы игры  на музыкальных инструментах (бубен, барабан, треугольник, ксилофон, металлофон) и полюбили играть в оркестре, а также в ансамбле ложкарей. Воспитанники любят импровизировать под музыку, придумывают характерные движения для передачи музыкально – игрового образа. Воспитанники с большим интересом выступают на различных концертах, мероприятиях.</w:t>
      </w:r>
    </w:p>
    <w:p w:rsidR="00C00FC5" w:rsidRDefault="00C00FC5" w:rsidP="00C00FC5">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«Фантазеры»</w:t>
      </w:r>
    </w:p>
    <w:p w:rsidR="00C00FC5" w:rsidRDefault="00C00FC5" w:rsidP="00C00FC5">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C00FC5" w:rsidRPr="00DD349F" w:rsidRDefault="00C00FC5" w:rsidP="00C00FC5"/>
    <w:p w:rsidR="00C00FC5" w:rsidRDefault="00C00FC5" w:rsidP="00C00FC5">
      <w:r w:rsidRPr="00DD349F">
        <w:rPr>
          <w:noProof/>
        </w:rPr>
        <w:lastRenderedPageBreak/>
        <w:drawing>
          <wp:inline distT="0" distB="0" distL="0" distR="0">
            <wp:extent cx="5486400" cy="3200400"/>
            <wp:effectExtent l="19050" t="0" r="19050" b="0"/>
            <wp:docPr id="3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00FC5" w:rsidRDefault="00C00FC5" w:rsidP="00C00FC5"/>
    <w:p w:rsidR="00C00FC5" w:rsidRPr="00033A96" w:rsidRDefault="00C00FC5" w:rsidP="00C00FC5">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41%, средний уровень 41%. Низкий уровень составил 18%, так как это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любят импровизировать, сочиняют собственные мелодии и танцевальные композиции. Дети с интересом слушают и анализируют музыкальные произведения, в результате чего у них развивается связная речь, значительно обогатился словарный запас.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оркестре.</w:t>
      </w:r>
      <w:proofErr w:type="gramEnd"/>
      <w:r>
        <w:rPr>
          <w:rFonts w:ascii="Times New Roman" w:hAnsi="Times New Roman"/>
          <w:sz w:val="28"/>
          <w:szCs w:val="28"/>
        </w:rPr>
        <w:t xml:space="preserve"> Воспитанники активно выступают на различных мероприятиях, концертах, городских, всероссийских и международных конкурсах.</w:t>
      </w:r>
    </w:p>
    <w:p w:rsidR="00C00FC5" w:rsidRPr="009234DA" w:rsidRDefault="009234DA" w:rsidP="006B0E96">
      <w:pPr>
        <w:jc w:val="center"/>
        <w:rPr>
          <w:rFonts w:ascii="Times New Roman" w:hAnsi="Times New Roman" w:cs="Times New Roman"/>
          <w:b/>
          <w:sz w:val="28"/>
          <w:szCs w:val="28"/>
        </w:rPr>
      </w:pPr>
      <w:r w:rsidRPr="009234DA">
        <w:rPr>
          <w:rFonts w:ascii="Times New Roman" w:hAnsi="Times New Roman" w:cs="Times New Roman"/>
          <w:b/>
          <w:sz w:val="28"/>
          <w:szCs w:val="28"/>
        </w:rPr>
        <w:t>2022 – 2023 учебный год</w:t>
      </w:r>
    </w:p>
    <w:p w:rsidR="006B0E96" w:rsidRDefault="006B0E96" w:rsidP="006B0E96">
      <w:pPr>
        <w:tabs>
          <w:tab w:val="left" w:pos="2385"/>
        </w:tabs>
        <w:jc w:val="center"/>
        <w:rPr>
          <w:rFonts w:ascii="Times New Roman" w:hAnsi="Times New Roman"/>
          <w:sz w:val="28"/>
          <w:szCs w:val="28"/>
        </w:rPr>
      </w:pPr>
      <w:r>
        <w:rPr>
          <w:rFonts w:ascii="Times New Roman" w:hAnsi="Times New Roman"/>
          <w:sz w:val="28"/>
          <w:szCs w:val="28"/>
        </w:rPr>
        <w:t>Средняя группа «Васильки»</w:t>
      </w:r>
      <w:r>
        <w:rPr>
          <w:rFonts w:ascii="Times New Roman" w:hAnsi="Times New Roman"/>
          <w:sz w:val="28"/>
          <w:szCs w:val="28"/>
        </w:rPr>
        <w:tab/>
      </w:r>
    </w:p>
    <w:p w:rsidR="006B0E96" w:rsidRDefault="006B0E96" w:rsidP="006B0E96">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B0E96" w:rsidRPr="00DD349F" w:rsidRDefault="006B0E96" w:rsidP="006B0E96"/>
    <w:p w:rsidR="006B0E96" w:rsidRDefault="006B0E96" w:rsidP="006B0E96">
      <w:r w:rsidRPr="00DD349F">
        <w:rPr>
          <w:noProof/>
        </w:rPr>
        <w:lastRenderedPageBreak/>
        <w:drawing>
          <wp:inline distT="0" distB="0" distL="0" distR="0">
            <wp:extent cx="5486400" cy="3200400"/>
            <wp:effectExtent l="19050" t="0" r="19050" b="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0E96" w:rsidRDefault="006B0E96" w:rsidP="006B0E96"/>
    <w:p w:rsidR="006B0E96" w:rsidRPr="00033A96" w:rsidRDefault="006B0E96" w:rsidP="006B0E96">
      <w:pPr>
        <w:jc w:val="both"/>
        <w:rPr>
          <w:rFonts w:ascii="Times New Roman" w:hAnsi="Times New Roman"/>
          <w:sz w:val="28"/>
          <w:szCs w:val="28"/>
        </w:rPr>
      </w:pPr>
      <w:r w:rsidRPr="007B4C00">
        <w:rPr>
          <w:rFonts w:ascii="Times New Roman" w:hAnsi="Times New Roman"/>
          <w:b/>
          <w:sz w:val="28"/>
          <w:szCs w:val="28"/>
        </w:rPr>
        <w:t>Вывод:</w:t>
      </w:r>
      <w:r w:rsidR="003D38C0">
        <w:rPr>
          <w:rFonts w:ascii="Times New Roman" w:hAnsi="Times New Roman" w:cs="Times New Roman"/>
          <w:sz w:val="28"/>
          <w:szCs w:val="28"/>
        </w:rPr>
        <w:t xml:space="preserve">Наблюдается положительная динамика по всем показателям. </w:t>
      </w:r>
      <w:r w:rsidR="003D38C0">
        <w:rPr>
          <w:rFonts w:ascii="Times New Roman" w:hAnsi="Times New Roman"/>
          <w:sz w:val="28"/>
          <w:szCs w:val="28"/>
        </w:rPr>
        <w:t>В</w:t>
      </w:r>
      <w:r>
        <w:rPr>
          <w:rFonts w:ascii="Times New Roman" w:hAnsi="Times New Roman"/>
          <w:sz w:val="28"/>
          <w:szCs w:val="28"/>
        </w:rPr>
        <w:t>ысокий уровень музыкального развития составляет 32%, средний уровень 64%. Низкий уровень составил 4%, так как это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 большим интересом разучивают различные танцы, песни. Дети этой группы с удовольствием играют в оркестре и выступают на различных праздниках.</w:t>
      </w:r>
    </w:p>
    <w:p w:rsidR="006B0E96" w:rsidRDefault="006B0E96" w:rsidP="006B0E96">
      <w:pPr>
        <w:tabs>
          <w:tab w:val="left" w:pos="2385"/>
        </w:tabs>
        <w:jc w:val="center"/>
        <w:rPr>
          <w:rFonts w:ascii="Times New Roman" w:hAnsi="Times New Roman"/>
          <w:sz w:val="28"/>
          <w:szCs w:val="28"/>
        </w:rPr>
      </w:pPr>
      <w:r>
        <w:rPr>
          <w:rFonts w:ascii="Times New Roman" w:hAnsi="Times New Roman"/>
          <w:sz w:val="28"/>
          <w:szCs w:val="28"/>
        </w:rPr>
        <w:t>Старшая группа «Затейники»</w:t>
      </w:r>
      <w:r>
        <w:rPr>
          <w:rFonts w:ascii="Times New Roman" w:hAnsi="Times New Roman"/>
          <w:sz w:val="28"/>
          <w:szCs w:val="28"/>
        </w:rPr>
        <w:tab/>
      </w:r>
    </w:p>
    <w:p w:rsidR="006B0E96" w:rsidRDefault="006B0E96" w:rsidP="006B0E96">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B0E96" w:rsidRPr="00DD349F" w:rsidRDefault="006B0E96" w:rsidP="006B0E96"/>
    <w:p w:rsidR="006B0E96" w:rsidRDefault="006B0E96" w:rsidP="006B0E96">
      <w:r w:rsidRPr="00DD349F">
        <w:rPr>
          <w:noProof/>
        </w:rPr>
        <w:lastRenderedPageBreak/>
        <w:drawing>
          <wp:inline distT="0" distB="0" distL="0" distR="0">
            <wp:extent cx="5486400" cy="3200400"/>
            <wp:effectExtent l="19050" t="0" r="19050" b="0"/>
            <wp:docPr id="3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B0E96" w:rsidRDefault="006B0E96" w:rsidP="006B0E96"/>
    <w:p w:rsidR="006B0E96" w:rsidRDefault="006B0E96" w:rsidP="006B0E96">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 xml:space="preserve">К концу года произошла положительная динамика по всем показателям:высокий уровень музыкального развития составляет 19%, средний уровень 52%. Низкий уровень составил 29%, так как это дети, которые редко посещали детский сад и дети с плохой координацией между слухом и голосом.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w:t>
      </w:r>
    </w:p>
    <w:p w:rsidR="006B0E96" w:rsidRDefault="006B0E96" w:rsidP="006B0E96">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«Фантазёры»</w:t>
      </w:r>
    </w:p>
    <w:p w:rsidR="006B0E96" w:rsidRDefault="006B0E96" w:rsidP="006B0E96">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B0E96" w:rsidRPr="00DD349F" w:rsidRDefault="006B0E96" w:rsidP="006B0E96"/>
    <w:p w:rsidR="006B0E96" w:rsidRDefault="006B0E96" w:rsidP="006B0E96">
      <w:r w:rsidRPr="00DD349F">
        <w:rPr>
          <w:noProof/>
        </w:rPr>
        <w:lastRenderedPageBreak/>
        <w:drawing>
          <wp:inline distT="0" distB="0" distL="0" distR="0">
            <wp:extent cx="5486400" cy="3200400"/>
            <wp:effectExtent l="19050" t="0" r="19050" b="0"/>
            <wp:docPr id="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B0E96" w:rsidRDefault="006B0E96" w:rsidP="006B0E96"/>
    <w:p w:rsidR="006B0E96" w:rsidRPr="00033A96" w:rsidRDefault="006B0E96" w:rsidP="006B0E96">
      <w:pPr>
        <w:jc w:val="both"/>
        <w:rPr>
          <w:rFonts w:ascii="Times New Roman" w:hAnsi="Times New Roman"/>
          <w:sz w:val="28"/>
          <w:szCs w:val="28"/>
        </w:rPr>
      </w:pPr>
      <w:r w:rsidRPr="007B4C00">
        <w:rPr>
          <w:rFonts w:ascii="Times New Roman" w:hAnsi="Times New Roman"/>
          <w:b/>
          <w:sz w:val="28"/>
          <w:szCs w:val="28"/>
        </w:rPr>
        <w:t>Вывод:</w:t>
      </w:r>
      <w:r>
        <w:rPr>
          <w:rFonts w:ascii="Times New Roman" w:hAnsi="Times New Roman"/>
          <w:sz w:val="28"/>
          <w:szCs w:val="28"/>
        </w:rPr>
        <w:t>К концу года произошла положительная динамика по всем показателям:высокий уровень музыкального развития составляет 53%, средний уровень 47%. Все дети эмоционально отзываются на музыку, с удовольствием приходят на музыкальные занятия. Воспитанники стали чище интонировать мелодии песен, с большим интересом разучивают различные песни, танцы, любят импровизировать, сочиняют собственные мелодии и танцевальные композиции. Дети с интересом слушают и анализируют музыкальные произведения, в результате чего у них развивается связная речь, значительно обогатился словарный запас. Дети этой группы с большим интересом играют в оркестре. Воспитанники активно выступают на различных мероприятиях, концертах, городских, всероссийских и международных конкурсах.</w:t>
      </w:r>
    </w:p>
    <w:p w:rsidR="006B0E96" w:rsidRDefault="006B0E96" w:rsidP="006B0E96">
      <w:pPr>
        <w:tabs>
          <w:tab w:val="left" w:pos="2385"/>
        </w:tabs>
        <w:jc w:val="center"/>
        <w:rPr>
          <w:rFonts w:ascii="Times New Roman" w:hAnsi="Times New Roman"/>
          <w:sz w:val="28"/>
          <w:szCs w:val="28"/>
        </w:rPr>
      </w:pPr>
    </w:p>
    <w:p w:rsidR="006B0E96" w:rsidRDefault="006B0E96" w:rsidP="006B0E96">
      <w:pPr>
        <w:tabs>
          <w:tab w:val="left" w:pos="2385"/>
        </w:tabs>
        <w:jc w:val="center"/>
        <w:rPr>
          <w:rFonts w:ascii="Times New Roman" w:hAnsi="Times New Roman"/>
          <w:sz w:val="28"/>
          <w:szCs w:val="28"/>
        </w:rPr>
      </w:pPr>
      <w:r>
        <w:rPr>
          <w:rFonts w:ascii="Times New Roman" w:hAnsi="Times New Roman"/>
          <w:sz w:val="28"/>
          <w:szCs w:val="28"/>
        </w:rPr>
        <w:t>Подготовительная группа «Почемучки»</w:t>
      </w:r>
      <w:r>
        <w:rPr>
          <w:rFonts w:ascii="Times New Roman" w:hAnsi="Times New Roman"/>
          <w:sz w:val="28"/>
          <w:szCs w:val="28"/>
        </w:rPr>
        <w:tab/>
      </w:r>
    </w:p>
    <w:p w:rsidR="006B0E96" w:rsidRDefault="006B0E96" w:rsidP="006B0E96">
      <w:pPr>
        <w:jc w:val="center"/>
        <w:rPr>
          <w:rFonts w:ascii="Times New Roman" w:hAnsi="Times New Roman"/>
          <w:b/>
          <w:sz w:val="28"/>
          <w:szCs w:val="28"/>
        </w:rPr>
      </w:pPr>
      <w:r w:rsidRPr="007C12EE">
        <w:rPr>
          <w:rFonts w:ascii="Times New Roman" w:hAnsi="Times New Roman"/>
          <w:b/>
          <w:sz w:val="28"/>
          <w:szCs w:val="28"/>
        </w:rPr>
        <w:t>Уровень музыкального развития</w:t>
      </w:r>
    </w:p>
    <w:p w:rsidR="006B0E96" w:rsidRPr="00DD349F" w:rsidRDefault="006B0E96" w:rsidP="006B0E96"/>
    <w:p w:rsidR="006B0E96" w:rsidRDefault="006B0E96" w:rsidP="006B0E96">
      <w:r w:rsidRPr="00DD349F">
        <w:rPr>
          <w:noProof/>
        </w:rPr>
        <w:lastRenderedPageBreak/>
        <w:drawing>
          <wp:inline distT="0" distB="0" distL="0" distR="0">
            <wp:extent cx="5486400" cy="3200400"/>
            <wp:effectExtent l="19050" t="0" r="19050" b="0"/>
            <wp:docPr id="3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B0E96" w:rsidRDefault="006B0E96" w:rsidP="006B0E96"/>
    <w:p w:rsidR="00C00FC5" w:rsidRPr="00C00FC5" w:rsidRDefault="006B0E96" w:rsidP="006B0E96">
      <w:pPr>
        <w:autoSpaceDE w:val="0"/>
        <w:autoSpaceDN w:val="0"/>
        <w:adjustRightInd w:val="0"/>
        <w:spacing w:after="0"/>
        <w:jc w:val="both"/>
        <w:rPr>
          <w:rFonts w:ascii="Times New Roman" w:hAnsi="Times New Roman" w:cs="Times New Roman"/>
          <w:sz w:val="28"/>
          <w:szCs w:val="28"/>
        </w:rPr>
      </w:pPr>
      <w:r w:rsidRPr="007B4C00">
        <w:rPr>
          <w:rFonts w:ascii="Times New Roman" w:hAnsi="Times New Roman"/>
          <w:b/>
          <w:sz w:val="28"/>
          <w:szCs w:val="28"/>
        </w:rPr>
        <w:t>Вывод:</w:t>
      </w:r>
      <w:r w:rsidR="003D38C0">
        <w:rPr>
          <w:rFonts w:ascii="Times New Roman" w:hAnsi="Times New Roman" w:cs="Times New Roman"/>
          <w:sz w:val="28"/>
          <w:szCs w:val="28"/>
        </w:rPr>
        <w:t xml:space="preserve">Наблюдается положительная динамика по всем показателям. </w:t>
      </w:r>
      <w:r w:rsidR="003D38C0">
        <w:rPr>
          <w:rFonts w:ascii="Times New Roman" w:hAnsi="Times New Roman"/>
          <w:sz w:val="28"/>
          <w:szCs w:val="28"/>
        </w:rPr>
        <w:t>В</w:t>
      </w:r>
      <w:r>
        <w:rPr>
          <w:rFonts w:ascii="Times New Roman" w:hAnsi="Times New Roman"/>
          <w:sz w:val="28"/>
          <w:szCs w:val="28"/>
        </w:rPr>
        <w:t xml:space="preserve">ысокий уровень музыкального развития составляет 50%, средний уровень 38%. Низкий уровень составил 12%, так как это дети с ОВЗ. Все дети эмоционально отзываются на музыку, с удовольствием приходят на музыкальные занятия. </w:t>
      </w:r>
      <w:proofErr w:type="gramStart"/>
      <w:r>
        <w:rPr>
          <w:rFonts w:ascii="Times New Roman" w:hAnsi="Times New Roman"/>
          <w:sz w:val="28"/>
          <w:szCs w:val="28"/>
        </w:rPr>
        <w:t>Дети этой группы освоили приемы игры  на музыкальных инструментах (ксилофон, бубен, рубель, ложки, барабан, треугольник, маракасы, металлофон), с большим интересом играют в ансамбле ложкарей, в оркестре.</w:t>
      </w:r>
      <w:proofErr w:type="gramEnd"/>
      <w:r>
        <w:rPr>
          <w:rFonts w:ascii="Times New Roman" w:hAnsi="Times New Roman"/>
          <w:sz w:val="28"/>
          <w:szCs w:val="28"/>
        </w:rPr>
        <w:t xml:space="preserve"> Воспитанники стали чище интонировать мелодии песен, любят импровизировать, с большим интересом разучивают различные песни, танцы, сочиняют собственные мелодии и танцевальные композиции. Воспитанники активно выступают на различных мероприятиях, концертах, городских, всероссийских и международных конкурсах.</w:t>
      </w:r>
    </w:p>
    <w:p w:rsidR="006B0E96" w:rsidRDefault="006B0E96" w:rsidP="00DB7FAA">
      <w:pPr>
        <w:autoSpaceDE w:val="0"/>
        <w:autoSpaceDN w:val="0"/>
        <w:adjustRightInd w:val="0"/>
        <w:spacing w:after="0"/>
        <w:jc w:val="both"/>
        <w:rPr>
          <w:rFonts w:ascii="Times New Roman" w:hAnsi="Times New Roman" w:cs="Times New Roman"/>
          <w:b/>
          <w:sz w:val="28"/>
          <w:szCs w:val="28"/>
        </w:rPr>
      </w:pPr>
    </w:p>
    <w:p w:rsidR="00DB7FAA" w:rsidRPr="00DB7FAA" w:rsidRDefault="00DB7FAA" w:rsidP="00DB7FAA">
      <w:pPr>
        <w:autoSpaceDE w:val="0"/>
        <w:autoSpaceDN w:val="0"/>
        <w:adjustRightInd w:val="0"/>
        <w:spacing w:after="0"/>
        <w:jc w:val="both"/>
        <w:rPr>
          <w:rFonts w:ascii="Times New Roman" w:hAnsi="Times New Roman" w:cs="Times New Roman"/>
          <w:sz w:val="28"/>
          <w:szCs w:val="28"/>
        </w:rPr>
      </w:pPr>
      <w:r w:rsidRPr="00DB7FAA">
        <w:rPr>
          <w:rFonts w:ascii="Times New Roman" w:hAnsi="Times New Roman" w:cs="Times New Roman"/>
          <w:b/>
          <w:sz w:val="28"/>
          <w:szCs w:val="28"/>
        </w:rPr>
        <w:t>Общий вывод</w:t>
      </w:r>
      <w:r>
        <w:rPr>
          <w:rFonts w:ascii="Times New Roman" w:hAnsi="Times New Roman" w:cs="Times New Roman"/>
          <w:b/>
          <w:sz w:val="28"/>
          <w:szCs w:val="28"/>
        </w:rPr>
        <w:t>:</w:t>
      </w:r>
      <w:r w:rsidRPr="00DB7FAA">
        <w:rPr>
          <w:rFonts w:ascii="Times New Roman" w:hAnsi="Times New Roman" w:cs="Times New Roman"/>
          <w:sz w:val="28"/>
          <w:szCs w:val="28"/>
        </w:rPr>
        <w:t xml:space="preserve">сравнительный анализ результатов мониторинга в начале и в конце учебного годапоказывает рост усвоения детьми программного материала, то есть прослеживаетсяположительная динамика </w:t>
      </w:r>
      <w:r>
        <w:rPr>
          <w:rFonts w:ascii="Times New Roman" w:hAnsi="Times New Roman" w:cs="Times New Roman"/>
          <w:sz w:val="28"/>
          <w:szCs w:val="28"/>
        </w:rPr>
        <w:t xml:space="preserve">уровня музыкального </w:t>
      </w:r>
      <w:r w:rsidRPr="00DB7FAA">
        <w:rPr>
          <w:rFonts w:ascii="Times New Roman" w:hAnsi="Times New Roman" w:cs="Times New Roman"/>
          <w:sz w:val="28"/>
          <w:szCs w:val="28"/>
        </w:rPr>
        <w:t xml:space="preserve">развития ребенка. В </w:t>
      </w:r>
      <w:proofErr w:type="spellStart"/>
      <w:r w:rsidRPr="00DB7FAA">
        <w:rPr>
          <w:rFonts w:ascii="Times New Roman" w:hAnsi="Times New Roman" w:cs="Times New Roman"/>
          <w:sz w:val="28"/>
          <w:szCs w:val="28"/>
        </w:rPr>
        <w:t>основномпоказатели</w:t>
      </w:r>
      <w:proofErr w:type="spellEnd"/>
      <w:r w:rsidRPr="00DB7FAA">
        <w:rPr>
          <w:rFonts w:ascii="Times New Roman" w:hAnsi="Times New Roman" w:cs="Times New Roman"/>
          <w:sz w:val="28"/>
          <w:szCs w:val="28"/>
        </w:rPr>
        <w:t xml:space="preserve"> выполнения примерной основной общеобразовательной </w:t>
      </w:r>
      <w:proofErr w:type="spellStart"/>
      <w:r w:rsidRPr="00DB7FAA">
        <w:rPr>
          <w:rFonts w:ascii="Times New Roman" w:hAnsi="Times New Roman" w:cs="Times New Roman"/>
          <w:sz w:val="28"/>
          <w:szCs w:val="28"/>
        </w:rPr>
        <w:t>программыдошкольного</w:t>
      </w:r>
      <w:proofErr w:type="spellEnd"/>
      <w:r w:rsidRPr="00DB7FAA">
        <w:rPr>
          <w:rFonts w:ascii="Times New Roman" w:hAnsi="Times New Roman" w:cs="Times New Roman"/>
          <w:sz w:val="28"/>
          <w:szCs w:val="28"/>
        </w:rPr>
        <w:t xml:space="preserve"> образования «От рождения до школы» под редакцией Н.Е. </w:t>
      </w:r>
      <w:proofErr w:type="spellStart"/>
      <w:r w:rsidRPr="00DB7FAA">
        <w:rPr>
          <w:rFonts w:ascii="Times New Roman" w:hAnsi="Times New Roman" w:cs="Times New Roman"/>
          <w:sz w:val="28"/>
          <w:szCs w:val="28"/>
        </w:rPr>
        <w:t>Вераксы</w:t>
      </w:r>
      <w:proofErr w:type="spellEnd"/>
      <w:r w:rsidRPr="00DB7FAA">
        <w:rPr>
          <w:rFonts w:ascii="Times New Roman" w:hAnsi="Times New Roman" w:cs="Times New Roman"/>
          <w:sz w:val="28"/>
          <w:szCs w:val="28"/>
        </w:rPr>
        <w:t>, Т.С.Комаровой, М.А. Васильевой находятся в пределах высокого и среднего уровня</w:t>
      </w:r>
      <w:r w:rsidR="0038787F">
        <w:rPr>
          <w:rFonts w:ascii="Times New Roman" w:hAnsi="Times New Roman" w:cs="Times New Roman"/>
          <w:sz w:val="28"/>
          <w:szCs w:val="28"/>
        </w:rPr>
        <w:t>.</w:t>
      </w:r>
      <w:r w:rsidRPr="00DB7FAA">
        <w:rPr>
          <w:rFonts w:ascii="Times New Roman" w:hAnsi="Times New Roman" w:cs="Times New Roman"/>
          <w:sz w:val="28"/>
          <w:szCs w:val="28"/>
        </w:rPr>
        <w:t xml:space="preserve"> Этоозначает, что применение в педагогической практике рабочей программы благотворносказывается на результатах итогового мониторинга.</w:t>
      </w:r>
    </w:p>
    <w:p w:rsidR="00317395" w:rsidRPr="00DB7FAA" w:rsidRDefault="00DB7FAA" w:rsidP="0038787F">
      <w:pPr>
        <w:autoSpaceDE w:val="0"/>
        <w:autoSpaceDN w:val="0"/>
        <w:adjustRightInd w:val="0"/>
        <w:spacing w:after="0" w:line="240" w:lineRule="auto"/>
        <w:jc w:val="both"/>
        <w:rPr>
          <w:rFonts w:ascii="Times New Roman" w:hAnsi="Times New Roman" w:cs="Times New Roman"/>
          <w:b/>
          <w:sz w:val="28"/>
          <w:szCs w:val="28"/>
        </w:rPr>
      </w:pPr>
      <w:r w:rsidRPr="00DB7FAA">
        <w:rPr>
          <w:rFonts w:ascii="Times New Roman" w:hAnsi="Times New Roman" w:cs="Times New Roman"/>
          <w:sz w:val="28"/>
          <w:szCs w:val="28"/>
        </w:rPr>
        <w:lastRenderedPageBreak/>
        <w:t>Таким образом, образовательная деятельность в</w:t>
      </w:r>
      <w:r w:rsidR="00313B8C">
        <w:rPr>
          <w:rFonts w:ascii="Times New Roman" w:hAnsi="Times New Roman" w:cs="Times New Roman"/>
          <w:sz w:val="28"/>
          <w:szCs w:val="28"/>
        </w:rPr>
        <w:t xml:space="preserve">овсех </w:t>
      </w:r>
      <w:r w:rsidRPr="00DB7FAA">
        <w:rPr>
          <w:rFonts w:ascii="Times New Roman" w:hAnsi="Times New Roman" w:cs="Times New Roman"/>
          <w:sz w:val="28"/>
          <w:szCs w:val="28"/>
        </w:rPr>
        <w:t xml:space="preserve"> групп</w:t>
      </w:r>
      <w:r w:rsidR="00313B8C">
        <w:rPr>
          <w:rFonts w:ascii="Times New Roman" w:hAnsi="Times New Roman" w:cs="Times New Roman"/>
          <w:sz w:val="28"/>
          <w:szCs w:val="28"/>
        </w:rPr>
        <w:t>ах</w:t>
      </w:r>
      <w:r w:rsidRPr="00DB7FAA">
        <w:rPr>
          <w:rFonts w:ascii="Times New Roman" w:hAnsi="Times New Roman" w:cs="Times New Roman"/>
          <w:sz w:val="28"/>
          <w:szCs w:val="28"/>
        </w:rPr>
        <w:t xml:space="preserve"> реализуется на достаточном уровне.Очевиден положительный результат проделанной работы: низкий уровень усвоенияпрограммы детьми свед</w:t>
      </w:r>
      <w:r w:rsidR="0038787F">
        <w:rPr>
          <w:rFonts w:ascii="Times New Roman" w:hAnsi="Cambria Math" w:cs="Times New Roman"/>
          <w:sz w:val="28"/>
          <w:szCs w:val="28"/>
        </w:rPr>
        <w:t>ен</w:t>
      </w:r>
      <w:r w:rsidRPr="00DB7FAA">
        <w:rPr>
          <w:rFonts w:ascii="Times New Roman" w:hAnsi="Times New Roman" w:cs="Times New Roman"/>
          <w:sz w:val="28"/>
          <w:szCs w:val="28"/>
        </w:rPr>
        <w:t xml:space="preserve"> к минимуму, знания детей прочные. Дошкольники способны применять их вповседневной деятельности.</w:t>
      </w:r>
    </w:p>
    <w:p w:rsidR="00B141B5" w:rsidRPr="00DB7FAA" w:rsidRDefault="00B141B5" w:rsidP="00DB7FAA">
      <w:pPr>
        <w:jc w:val="both"/>
        <w:rPr>
          <w:rFonts w:ascii="Times New Roman" w:hAnsi="Times New Roman" w:cs="Times New Roman"/>
          <w:b/>
          <w:sz w:val="28"/>
          <w:szCs w:val="28"/>
        </w:rPr>
      </w:pPr>
    </w:p>
    <w:sectPr w:rsidR="00B141B5" w:rsidRPr="00DB7FAA" w:rsidSect="00DB12C8">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079" w:rsidRDefault="00AD6079" w:rsidP="00DB7FAA">
      <w:pPr>
        <w:spacing w:after="0" w:line="240" w:lineRule="auto"/>
      </w:pPr>
      <w:r>
        <w:separator/>
      </w:r>
    </w:p>
  </w:endnote>
  <w:endnote w:type="continuationSeparator" w:id="1">
    <w:p w:rsidR="00AD6079" w:rsidRDefault="00AD6079" w:rsidP="00DB7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7751"/>
      <w:docPartObj>
        <w:docPartGallery w:val="Page Numbers (Bottom of Page)"/>
        <w:docPartUnique/>
      </w:docPartObj>
    </w:sdtPr>
    <w:sdtContent>
      <w:p w:rsidR="00DB7FAA" w:rsidRDefault="00F75BFE">
        <w:pPr>
          <w:pStyle w:val="a7"/>
          <w:jc w:val="right"/>
        </w:pPr>
        <w:r>
          <w:fldChar w:fldCharType="begin"/>
        </w:r>
        <w:r w:rsidR="00410127">
          <w:instrText xml:space="preserve"> PAGE   \* MERGEFORMAT </w:instrText>
        </w:r>
        <w:r>
          <w:fldChar w:fldCharType="separate"/>
        </w:r>
        <w:r w:rsidR="00405A1F">
          <w:rPr>
            <w:noProof/>
          </w:rPr>
          <w:t>1</w:t>
        </w:r>
        <w:r>
          <w:rPr>
            <w:noProof/>
          </w:rPr>
          <w:fldChar w:fldCharType="end"/>
        </w:r>
      </w:p>
    </w:sdtContent>
  </w:sdt>
  <w:p w:rsidR="00DB7FAA" w:rsidRDefault="00DB7F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079" w:rsidRDefault="00AD6079" w:rsidP="00DB7FAA">
      <w:pPr>
        <w:spacing w:after="0" w:line="240" w:lineRule="auto"/>
      </w:pPr>
      <w:r>
        <w:separator/>
      </w:r>
    </w:p>
  </w:footnote>
  <w:footnote w:type="continuationSeparator" w:id="1">
    <w:p w:rsidR="00AD6079" w:rsidRDefault="00AD6079" w:rsidP="00DB7F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C4B0E"/>
    <w:rsid w:val="00065DF0"/>
    <w:rsid w:val="000E1CFF"/>
    <w:rsid w:val="00124A16"/>
    <w:rsid w:val="00313B8C"/>
    <w:rsid w:val="00317395"/>
    <w:rsid w:val="0038787F"/>
    <w:rsid w:val="003A269E"/>
    <w:rsid w:val="003B65EE"/>
    <w:rsid w:val="003D38C0"/>
    <w:rsid w:val="00405A1F"/>
    <w:rsid w:val="00410127"/>
    <w:rsid w:val="004F3647"/>
    <w:rsid w:val="00523175"/>
    <w:rsid w:val="00545C0A"/>
    <w:rsid w:val="00583A03"/>
    <w:rsid w:val="005A53CE"/>
    <w:rsid w:val="005E42AD"/>
    <w:rsid w:val="0060622D"/>
    <w:rsid w:val="00610A0D"/>
    <w:rsid w:val="00617642"/>
    <w:rsid w:val="00640CD7"/>
    <w:rsid w:val="006B0E96"/>
    <w:rsid w:val="00747C32"/>
    <w:rsid w:val="00780B66"/>
    <w:rsid w:val="007D415D"/>
    <w:rsid w:val="007E7A2B"/>
    <w:rsid w:val="007F6F97"/>
    <w:rsid w:val="00802137"/>
    <w:rsid w:val="008D7A02"/>
    <w:rsid w:val="00907E59"/>
    <w:rsid w:val="009234DA"/>
    <w:rsid w:val="00941302"/>
    <w:rsid w:val="009E0CA0"/>
    <w:rsid w:val="00A03FDE"/>
    <w:rsid w:val="00A70138"/>
    <w:rsid w:val="00AC2774"/>
    <w:rsid w:val="00AD6079"/>
    <w:rsid w:val="00AD7760"/>
    <w:rsid w:val="00B141B5"/>
    <w:rsid w:val="00BB65FE"/>
    <w:rsid w:val="00BC4B0E"/>
    <w:rsid w:val="00C00FC5"/>
    <w:rsid w:val="00C63CBE"/>
    <w:rsid w:val="00D16F91"/>
    <w:rsid w:val="00D6633F"/>
    <w:rsid w:val="00DB12C8"/>
    <w:rsid w:val="00DB7FAA"/>
    <w:rsid w:val="00E33EA3"/>
    <w:rsid w:val="00EA7DA1"/>
    <w:rsid w:val="00ED52A7"/>
    <w:rsid w:val="00F0611A"/>
    <w:rsid w:val="00F75BFE"/>
    <w:rsid w:val="00F92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C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CFF"/>
    <w:rPr>
      <w:rFonts w:ascii="Tahoma" w:hAnsi="Tahoma" w:cs="Tahoma"/>
      <w:sz w:val="16"/>
      <w:szCs w:val="16"/>
    </w:rPr>
  </w:style>
  <w:style w:type="paragraph" w:styleId="a5">
    <w:name w:val="header"/>
    <w:basedOn w:val="a"/>
    <w:link w:val="a6"/>
    <w:uiPriority w:val="99"/>
    <w:semiHidden/>
    <w:unhideWhenUsed/>
    <w:rsid w:val="00DB7F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7FAA"/>
  </w:style>
  <w:style w:type="paragraph" w:styleId="a7">
    <w:name w:val="footer"/>
    <w:basedOn w:val="a"/>
    <w:link w:val="a8"/>
    <w:uiPriority w:val="99"/>
    <w:unhideWhenUsed/>
    <w:rsid w:val="00DB7F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webSettings" Target="webSettings.xml"/><Relationship Id="rId21" Type="http://schemas.openxmlformats.org/officeDocument/2006/relationships/chart" Target="charts/chart16.xml"/><Relationship Id="rId34"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7.6045627376425881E-2"/>
          <c:y val="0.1095890410958904"/>
          <c:w val="0.74334600760456304"/>
          <c:h val="0.7214611872146115"/>
        </c:manualLayout>
      </c:layout>
      <c:barChart>
        <c:barDir val="col"/>
        <c:grouping val="clustered"/>
        <c:ser>
          <c:idx val="0"/>
          <c:order val="0"/>
          <c:tx>
            <c:strRef>
              <c:f>Лист1!$B$1</c:f>
              <c:strCache>
                <c:ptCount val="1"/>
                <c:pt idx="0">
                  <c:v>высокий</c:v>
                </c:pt>
              </c:strCache>
            </c:strRef>
          </c:tx>
          <c:spPr>
            <a:solidFill>
              <a:srgbClr val="FF0000"/>
            </a:solidFill>
          </c:spPr>
          <c:cat>
            <c:strRef>
              <c:f>Лист1!$A$2:$A$3</c:f>
              <c:strCache>
                <c:ptCount val="2"/>
                <c:pt idx="0">
                  <c:v>начало года</c:v>
                </c:pt>
                <c:pt idx="1">
                  <c:v>конец года</c:v>
                </c:pt>
              </c:strCache>
            </c:strRef>
          </c:cat>
          <c:val>
            <c:numRef>
              <c:f>Лист1!$B$2:$B$3</c:f>
              <c:numCache>
                <c:formatCode>General</c:formatCode>
                <c:ptCount val="2"/>
                <c:pt idx="0">
                  <c:v>0</c:v>
                </c:pt>
                <c:pt idx="1">
                  <c:v>20</c:v>
                </c:pt>
              </c:numCache>
            </c:numRef>
          </c:val>
        </c:ser>
        <c:ser>
          <c:idx val="1"/>
          <c:order val="1"/>
          <c:tx>
            <c:strRef>
              <c:f>Лист1!$C$1</c:f>
              <c:strCache>
                <c:ptCount val="1"/>
                <c:pt idx="0">
                  <c:v>средний</c:v>
                </c:pt>
              </c:strCache>
            </c:strRef>
          </c:tx>
          <c:spPr>
            <a:solidFill>
              <a:srgbClr val="0070C0"/>
            </a:solidFill>
          </c:spPr>
          <c:cat>
            <c:strRef>
              <c:f>Лист1!$A$2:$A$3</c:f>
              <c:strCache>
                <c:ptCount val="2"/>
                <c:pt idx="0">
                  <c:v>начало года</c:v>
                </c:pt>
                <c:pt idx="1">
                  <c:v>конец года</c:v>
                </c:pt>
              </c:strCache>
            </c:strRef>
          </c:cat>
          <c:val>
            <c:numRef>
              <c:f>Лист1!$C$2:$C$3</c:f>
              <c:numCache>
                <c:formatCode>General</c:formatCode>
                <c:ptCount val="2"/>
                <c:pt idx="0">
                  <c:v>40</c:v>
                </c:pt>
                <c:pt idx="1">
                  <c:v>50</c:v>
                </c:pt>
              </c:numCache>
            </c:numRef>
          </c:val>
        </c:ser>
        <c:ser>
          <c:idx val="2"/>
          <c:order val="2"/>
          <c:tx>
            <c:strRef>
              <c:f>Лист1!$D$1</c:f>
              <c:strCache>
                <c:ptCount val="1"/>
                <c:pt idx="0">
                  <c:v>низкий</c:v>
                </c:pt>
              </c:strCache>
            </c:strRef>
          </c:tx>
          <c:spPr>
            <a:solidFill>
              <a:srgbClr val="FFFF00"/>
            </a:solidFill>
          </c:spPr>
          <c:cat>
            <c:strRef>
              <c:f>Лист1!$A$2:$A$3</c:f>
              <c:strCache>
                <c:ptCount val="2"/>
                <c:pt idx="0">
                  <c:v>начало года</c:v>
                </c:pt>
                <c:pt idx="1">
                  <c:v>конец года</c:v>
                </c:pt>
              </c:strCache>
            </c:strRef>
          </c:cat>
          <c:val>
            <c:numRef>
              <c:f>Лист1!$D$2:$D$3</c:f>
              <c:numCache>
                <c:formatCode>General</c:formatCode>
                <c:ptCount val="2"/>
                <c:pt idx="0">
                  <c:v>60</c:v>
                </c:pt>
                <c:pt idx="1">
                  <c:v>30</c:v>
                </c:pt>
              </c:numCache>
            </c:numRef>
          </c:val>
        </c:ser>
        <c:dLbls/>
        <c:axId val="73550464"/>
        <c:axId val="81281408"/>
      </c:barChart>
      <c:catAx>
        <c:axId val="73550464"/>
        <c:scaling>
          <c:orientation val="minMax"/>
        </c:scaling>
        <c:axPos val="b"/>
        <c:numFmt formatCode="General" sourceLinked="1"/>
        <c:tickLblPos val="nextTo"/>
        <c:crossAx val="81281408"/>
        <c:crosses val="autoZero"/>
        <c:auto val="1"/>
        <c:lblAlgn val="ctr"/>
        <c:lblOffset val="100"/>
      </c:catAx>
      <c:valAx>
        <c:axId val="81281408"/>
        <c:scaling>
          <c:orientation val="minMax"/>
        </c:scaling>
        <c:axPos val="l"/>
        <c:majorGridlines/>
        <c:numFmt formatCode="General" sourceLinked="1"/>
        <c:tickLblPos val="nextTo"/>
        <c:crossAx val="73550464"/>
        <c:crosses val="autoZero"/>
        <c:crossBetween val="between"/>
      </c:valAx>
    </c:plotArea>
    <c:legend>
      <c:legendPos val="r"/>
      <c:layout>
        <c:manualLayout>
          <c:xMode val="edge"/>
          <c:yMode val="edge"/>
          <c:x val="0.85361210127379905"/>
          <c:y val="0.34246561376321372"/>
          <c:w val="0.13498093148155599"/>
          <c:h val="0.32876701733761038"/>
        </c:manualLayout>
      </c:layout>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6</c:v>
                </c:pt>
                <c:pt idx="1">
                  <c:v>33</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50</c:v>
                </c:pt>
                <c:pt idx="1">
                  <c:v>67</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45</c:v>
                </c:pt>
                <c:pt idx="1">
                  <c:v>0</c:v>
                </c:pt>
              </c:numCache>
            </c:numRef>
          </c:val>
        </c:ser>
        <c:dLbls/>
        <c:axId val="81902976"/>
        <c:axId val="81912960"/>
      </c:barChart>
      <c:catAx>
        <c:axId val="81902976"/>
        <c:scaling>
          <c:orientation val="minMax"/>
        </c:scaling>
        <c:axPos val="b"/>
        <c:tickLblPos val="nextTo"/>
        <c:crossAx val="81912960"/>
        <c:crosses val="autoZero"/>
        <c:auto val="1"/>
        <c:lblAlgn val="ctr"/>
        <c:lblOffset val="100"/>
      </c:catAx>
      <c:valAx>
        <c:axId val="81912960"/>
        <c:scaling>
          <c:orientation val="minMax"/>
        </c:scaling>
        <c:axPos val="l"/>
        <c:majorGridlines/>
        <c:numFmt formatCode="General" sourceLinked="1"/>
        <c:tickLblPos val="nextTo"/>
        <c:crossAx val="8190297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5</c:v>
                </c:pt>
                <c:pt idx="1">
                  <c:v>19</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43</c:v>
                </c:pt>
                <c:pt idx="1">
                  <c:v>52</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52</c:v>
                </c:pt>
                <c:pt idx="1">
                  <c:v>29</c:v>
                </c:pt>
              </c:numCache>
            </c:numRef>
          </c:val>
        </c:ser>
        <c:dLbls/>
        <c:axId val="81980416"/>
        <c:axId val="81986304"/>
      </c:barChart>
      <c:catAx>
        <c:axId val="81980416"/>
        <c:scaling>
          <c:orientation val="minMax"/>
        </c:scaling>
        <c:axPos val="b"/>
        <c:tickLblPos val="nextTo"/>
        <c:crossAx val="81986304"/>
        <c:crosses val="autoZero"/>
        <c:auto val="1"/>
        <c:lblAlgn val="ctr"/>
        <c:lblOffset val="100"/>
      </c:catAx>
      <c:valAx>
        <c:axId val="81986304"/>
        <c:scaling>
          <c:orientation val="minMax"/>
        </c:scaling>
        <c:axPos val="l"/>
        <c:majorGridlines/>
        <c:numFmt formatCode="General" sourceLinked="1"/>
        <c:tickLblPos val="nextTo"/>
        <c:crossAx val="81980416"/>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40</c:v>
                </c:pt>
                <c:pt idx="1">
                  <c:v>53</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34</c:v>
                </c:pt>
                <c:pt idx="1">
                  <c:v>47</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26</c:v>
                </c:pt>
                <c:pt idx="1">
                  <c:v>0</c:v>
                </c:pt>
              </c:numCache>
            </c:numRef>
          </c:val>
        </c:ser>
        <c:dLbls/>
        <c:axId val="82025088"/>
        <c:axId val="82039168"/>
      </c:barChart>
      <c:catAx>
        <c:axId val="82025088"/>
        <c:scaling>
          <c:orientation val="minMax"/>
        </c:scaling>
        <c:axPos val="b"/>
        <c:tickLblPos val="nextTo"/>
        <c:crossAx val="82039168"/>
        <c:crosses val="autoZero"/>
        <c:auto val="1"/>
        <c:lblAlgn val="ctr"/>
        <c:lblOffset val="100"/>
      </c:catAx>
      <c:valAx>
        <c:axId val="82039168"/>
        <c:scaling>
          <c:orientation val="minMax"/>
        </c:scaling>
        <c:axPos val="l"/>
        <c:majorGridlines/>
        <c:numFmt formatCode="General" sourceLinked="1"/>
        <c:tickLblPos val="nextTo"/>
        <c:crossAx val="8202508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38</c:v>
                </c:pt>
                <c:pt idx="1">
                  <c:v>50</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38</c:v>
                </c:pt>
                <c:pt idx="1">
                  <c:v>38</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24</c:v>
                </c:pt>
                <c:pt idx="1">
                  <c:v>12</c:v>
                </c:pt>
              </c:numCache>
            </c:numRef>
          </c:val>
        </c:ser>
        <c:dLbls/>
        <c:axId val="82077952"/>
        <c:axId val="82092032"/>
      </c:barChart>
      <c:catAx>
        <c:axId val="82077952"/>
        <c:scaling>
          <c:orientation val="minMax"/>
        </c:scaling>
        <c:axPos val="b"/>
        <c:tickLblPos val="nextTo"/>
        <c:crossAx val="82092032"/>
        <c:crosses val="autoZero"/>
        <c:auto val="1"/>
        <c:lblAlgn val="ctr"/>
        <c:lblOffset val="100"/>
      </c:catAx>
      <c:valAx>
        <c:axId val="82092032"/>
        <c:scaling>
          <c:orientation val="minMax"/>
        </c:scaling>
        <c:axPos val="l"/>
        <c:majorGridlines/>
        <c:numFmt formatCode="General" sourceLinked="1"/>
        <c:tickLblPos val="nextTo"/>
        <c:crossAx val="82077952"/>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50</c:v>
                </c:pt>
                <c:pt idx="1">
                  <c:v>55</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40</c:v>
                </c:pt>
                <c:pt idx="1">
                  <c:v>40</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10</c:v>
                </c:pt>
                <c:pt idx="1">
                  <c:v>5</c:v>
                </c:pt>
              </c:numCache>
            </c:numRef>
          </c:val>
        </c:ser>
        <c:dLbls/>
        <c:axId val="82151296"/>
        <c:axId val="82152832"/>
      </c:barChart>
      <c:catAx>
        <c:axId val="82151296"/>
        <c:scaling>
          <c:orientation val="minMax"/>
        </c:scaling>
        <c:axPos val="b"/>
        <c:tickLblPos val="nextTo"/>
        <c:crossAx val="82152832"/>
        <c:crosses val="autoZero"/>
        <c:auto val="1"/>
        <c:lblAlgn val="ctr"/>
        <c:lblOffset val="100"/>
      </c:catAx>
      <c:valAx>
        <c:axId val="82152832"/>
        <c:scaling>
          <c:orientation val="minMax"/>
        </c:scaling>
        <c:axPos val="l"/>
        <c:majorGridlines/>
        <c:numFmt formatCode="General" sourceLinked="1"/>
        <c:tickLblPos val="nextTo"/>
        <c:crossAx val="82151296"/>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30</c:v>
                </c:pt>
                <c:pt idx="1">
                  <c:v>40</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52</c:v>
                </c:pt>
                <c:pt idx="1">
                  <c:v>55</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18</c:v>
                </c:pt>
                <c:pt idx="1">
                  <c:v>5</c:v>
                </c:pt>
              </c:numCache>
            </c:numRef>
          </c:val>
        </c:ser>
        <c:dLbls/>
        <c:axId val="82187776"/>
        <c:axId val="82189312"/>
      </c:barChart>
      <c:catAx>
        <c:axId val="82187776"/>
        <c:scaling>
          <c:orientation val="minMax"/>
        </c:scaling>
        <c:axPos val="b"/>
        <c:tickLblPos val="nextTo"/>
        <c:crossAx val="82189312"/>
        <c:crosses val="autoZero"/>
        <c:auto val="1"/>
        <c:lblAlgn val="ctr"/>
        <c:lblOffset val="100"/>
      </c:catAx>
      <c:valAx>
        <c:axId val="82189312"/>
        <c:scaling>
          <c:orientation val="minMax"/>
        </c:scaling>
        <c:axPos val="l"/>
        <c:majorGridlines/>
        <c:numFmt formatCode="General" sourceLinked="1"/>
        <c:tickLblPos val="nextTo"/>
        <c:crossAx val="82187776"/>
        <c:crosses val="autoZero"/>
        <c:crossBetween val="between"/>
      </c:valAx>
      <c:spPr>
        <a:noFill/>
        <a:ln w="25400">
          <a:noFill/>
        </a:ln>
      </c:spPr>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6</c:v>
                </c:pt>
                <c:pt idx="1">
                  <c:v>33</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50</c:v>
                </c:pt>
                <c:pt idx="1">
                  <c:v>67</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45</c:v>
                </c:pt>
                <c:pt idx="1">
                  <c:v>0</c:v>
                </c:pt>
              </c:numCache>
            </c:numRef>
          </c:val>
        </c:ser>
        <c:dLbls/>
        <c:axId val="82240640"/>
        <c:axId val="82242176"/>
      </c:barChart>
      <c:catAx>
        <c:axId val="82240640"/>
        <c:scaling>
          <c:orientation val="minMax"/>
        </c:scaling>
        <c:axPos val="b"/>
        <c:tickLblPos val="nextTo"/>
        <c:crossAx val="82242176"/>
        <c:crosses val="autoZero"/>
        <c:auto val="1"/>
        <c:lblAlgn val="ctr"/>
        <c:lblOffset val="100"/>
      </c:catAx>
      <c:valAx>
        <c:axId val="82242176"/>
        <c:scaling>
          <c:orientation val="minMax"/>
        </c:scaling>
        <c:axPos val="l"/>
        <c:majorGridlines/>
        <c:numFmt formatCode="General" sourceLinked="1"/>
        <c:tickLblPos val="nextTo"/>
        <c:crossAx val="82240640"/>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5</c:v>
                </c:pt>
                <c:pt idx="1">
                  <c:v>19</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43</c:v>
                </c:pt>
                <c:pt idx="1">
                  <c:v>52</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52</c:v>
                </c:pt>
                <c:pt idx="1">
                  <c:v>29</c:v>
                </c:pt>
              </c:numCache>
            </c:numRef>
          </c:val>
        </c:ser>
        <c:dLbls/>
        <c:axId val="82309888"/>
        <c:axId val="82311424"/>
      </c:barChart>
      <c:catAx>
        <c:axId val="82309888"/>
        <c:scaling>
          <c:orientation val="minMax"/>
        </c:scaling>
        <c:axPos val="b"/>
        <c:tickLblPos val="nextTo"/>
        <c:crossAx val="82311424"/>
        <c:crosses val="autoZero"/>
        <c:auto val="1"/>
        <c:lblAlgn val="ctr"/>
        <c:lblOffset val="100"/>
      </c:catAx>
      <c:valAx>
        <c:axId val="82311424"/>
        <c:scaling>
          <c:orientation val="minMax"/>
        </c:scaling>
        <c:axPos val="l"/>
        <c:majorGridlines/>
        <c:numFmt formatCode="General" sourceLinked="1"/>
        <c:tickLblPos val="nextTo"/>
        <c:crossAx val="82309888"/>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40</c:v>
                </c:pt>
                <c:pt idx="1">
                  <c:v>53</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34</c:v>
                </c:pt>
                <c:pt idx="1">
                  <c:v>47</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26</c:v>
                </c:pt>
                <c:pt idx="1">
                  <c:v>0</c:v>
                </c:pt>
              </c:numCache>
            </c:numRef>
          </c:val>
        </c:ser>
        <c:dLbls/>
        <c:axId val="82366464"/>
        <c:axId val="82368000"/>
      </c:barChart>
      <c:catAx>
        <c:axId val="82366464"/>
        <c:scaling>
          <c:orientation val="minMax"/>
        </c:scaling>
        <c:axPos val="b"/>
        <c:tickLblPos val="nextTo"/>
        <c:crossAx val="82368000"/>
        <c:crosses val="autoZero"/>
        <c:auto val="1"/>
        <c:lblAlgn val="ctr"/>
        <c:lblOffset val="100"/>
      </c:catAx>
      <c:valAx>
        <c:axId val="82368000"/>
        <c:scaling>
          <c:orientation val="minMax"/>
        </c:scaling>
        <c:axPos val="l"/>
        <c:majorGridlines/>
        <c:numFmt formatCode="General" sourceLinked="1"/>
        <c:tickLblPos val="nextTo"/>
        <c:crossAx val="82366464"/>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38</c:v>
                </c:pt>
                <c:pt idx="1">
                  <c:v>50</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38</c:v>
                </c:pt>
                <c:pt idx="1">
                  <c:v>38</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24</c:v>
                </c:pt>
                <c:pt idx="1">
                  <c:v>12</c:v>
                </c:pt>
              </c:numCache>
            </c:numRef>
          </c:val>
        </c:ser>
        <c:dLbls/>
        <c:axId val="82431360"/>
        <c:axId val="82437248"/>
      </c:barChart>
      <c:catAx>
        <c:axId val="82431360"/>
        <c:scaling>
          <c:orientation val="minMax"/>
        </c:scaling>
        <c:axPos val="b"/>
        <c:tickLblPos val="nextTo"/>
        <c:crossAx val="82437248"/>
        <c:crosses val="autoZero"/>
        <c:auto val="1"/>
        <c:lblAlgn val="ctr"/>
        <c:lblOffset val="100"/>
      </c:catAx>
      <c:valAx>
        <c:axId val="82437248"/>
        <c:scaling>
          <c:orientation val="minMax"/>
        </c:scaling>
        <c:axPos val="l"/>
        <c:majorGridlines/>
        <c:numFmt formatCode="General" sourceLinked="1"/>
        <c:tickLblPos val="nextTo"/>
        <c:crossAx val="824313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7.092198581560287E-2"/>
          <c:y val="0.10344827586206895"/>
          <c:w val="0.75000000000000033"/>
          <c:h val="0.73706896551724099"/>
        </c:manualLayout>
      </c:layout>
      <c:barChart>
        <c:barDir val="col"/>
        <c:grouping val="clustered"/>
        <c:ser>
          <c:idx val="0"/>
          <c:order val="0"/>
          <c:tx>
            <c:strRef>
              <c:f>Лист1!$B$1</c:f>
              <c:strCache>
                <c:ptCount val="1"/>
                <c:pt idx="0">
                  <c:v>высокий</c:v>
                </c:pt>
              </c:strCache>
            </c:strRef>
          </c:tx>
          <c:spPr>
            <a:solidFill>
              <a:srgbClr val="FF0000"/>
            </a:solidFill>
          </c:spPr>
          <c:cat>
            <c:strRef>
              <c:f>Лист1!$A$2:$A$3</c:f>
              <c:strCache>
                <c:ptCount val="2"/>
                <c:pt idx="0">
                  <c:v>начало года</c:v>
                </c:pt>
                <c:pt idx="1">
                  <c:v>конец года</c:v>
                </c:pt>
              </c:strCache>
            </c:strRef>
          </c:cat>
          <c:val>
            <c:numRef>
              <c:f>Лист1!$B$2:$B$3</c:f>
              <c:numCache>
                <c:formatCode>General</c:formatCode>
                <c:ptCount val="2"/>
                <c:pt idx="0">
                  <c:v>3</c:v>
                </c:pt>
                <c:pt idx="1">
                  <c:v>20</c:v>
                </c:pt>
              </c:numCache>
            </c:numRef>
          </c:val>
        </c:ser>
        <c:ser>
          <c:idx val="1"/>
          <c:order val="1"/>
          <c:tx>
            <c:strRef>
              <c:f>Лист1!$C$1</c:f>
              <c:strCache>
                <c:ptCount val="1"/>
                <c:pt idx="0">
                  <c:v>средний</c:v>
                </c:pt>
              </c:strCache>
            </c:strRef>
          </c:tx>
          <c:spPr>
            <a:solidFill>
              <a:srgbClr val="0070C0"/>
            </a:solidFill>
          </c:spPr>
          <c:cat>
            <c:strRef>
              <c:f>Лист1!$A$2:$A$3</c:f>
              <c:strCache>
                <c:ptCount val="2"/>
                <c:pt idx="0">
                  <c:v>начало года</c:v>
                </c:pt>
                <c:pt idx="1">
                  <c:v>конец года</c:v>
                </c:pt>
              </c:strCache>
            </c:strRef>
          </c:cat>
          <c:val>
            <c:numRef>
              <c:f>Лист1!$C$2:$C$3</c:f>
              <c:numCache>
                <c:formatCode>General</c:formatCode>
                <c:ptCount val="2"/>
                <c:pt idx="0">
                  <c:v>40</c:v>
                </c:pt>
                <c:pt idx="1">
                  <c:v>43</c:v>
                </c:pt>
              </c:numCache>
            </c:numRef>
          </c:val>
        </c:ser>
        <c:ser>
          <c:idx val="2"/>
          <c:order val="2"/>
          <c:tx>
            <c:strRef>
              <c:f>Лист1!$D$1</c:f>
              <c:strCache>
                <c:ptCount val="1"/>
                <c:pt idx="0">
                  <c:v>низкий</c:v>
                </c:pt>
              </c:strCache>
            </c:strRef>
          </c:tx>
          <c:spPr>
            <a:solidFill>
              <a:srgbClr val="FFFF00"/>
            </a:solidFill>
          </c:spPr>
          <c:cat>
            <c:strRef>
              <c:f>Лист1!$A$2:$A$3</c:f>
              <c:strCache>
                <c:ptCount val="2"/>
                <c:pt idx="0">
                  <c:v>начало года</c:v>
                </c:pt>
                <c:pt idx="1">
                  <c:v>конец года</c:v>
                </c:pt>
              </c:strCache>
            </c:strRef>
          </c:cat>
          <c:val>
            <c:numRef>
              <c:f>Лист1!$D$2:$D$3</c:f>
              <c:numCache>
                <c:formatCode>General</c:formatCode>
                <c:ptCount val="2"/>
                <c:pt idx="0">
                  <c:v>57</c:v>
                </c:pt>
                <c:pt idx="1">
                  <c:v>37</c:v>
                </c:pt>
              </c:numCache>
            </c:numRef>
          </c:val>
        </c:ser>
        <c:dLbls/>
        <c:axId val="49420928"/>
        <c:axId val="49435008"/>
      </c:barChart>
      <c:catAx>
        <c:axId val="49420928"/>
        <c:scaling>
          <c:orientation val="minMax"/>
        </c:scaling>
        <c:axPos val="b"/>
        <c:numFmt formatCode="General" sourceLinked="1"/>
        <c:tickLblPos val="nextTo"/>
        <c:crossAx val="49435008"/>
        <c:crosses val="autoZero"/>
        <c:auto val="1"/>
        <c:lblAlgn val="ctr"/>
        <c:lblOffset val="100"/>
      </c:catAx>
      <c:valAx>
        <c:axId val="49435008"/>
        <c:scaling>
          <c:orientation val="minMax"/>
        </c:scaling>
        <c:axPos val="l"/>
        <c:majorGridlines/>
        <c:numFmt formatCode="General" sourceLinked="1"/>
        <c:tickLblPos val="nextTo"/>
        <c:crossAx val="49420928"/>
        <c:crosses val="autoZero"/>
        <c:crossBetween val="between"/>
      </c:valAx>
    </c:plotArea>
    <c:legend>
      <c:legendPos val="r"/>
      <c:layout>
        <c:manualLayout>
          <c:xMode val="edge"/>
          <c:yMode val="edge"/>
          <c:x val="0.8599290148385268"/>
          <c:y val="0.35775849450573671"/>
          <c:w val="0.12588659181273254"/>
          <c:h val="0.3103447141624604"/>
        </c:manualLayout>
      </c:layout>
    </c:legend>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50</c:v>
                </c:pt>
                <c:pt idx="1">
                  <c:v>55</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40</c:v>
                </c:pt>
                <c:pt idx="1">
                  <c:v>40</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10</c:v>
                </c:pt>
                <c:pt idx="1">
                  <c:v>5</c:v>
                </c:pt>
              </c:numCache>
            </c:numRef>
          </c:val>
        </c:ser>
        <c:dLbls/>
        <c:axId val="82463744"/>
        <c:axId val="82481920"/>
      </c:barChart>
      <c:catAx>
        <c:axId val="82463744"/>
        <c:scaling>
          <c:orientation val="minMax"/>
        </c:scaling>
        <c:axPos val="b"/>
        <c:tickLblPos val="nextTo"/>
        <c:crossAx val="82481920"/>
        <c:crosses val="autoZero"/>
        <c:auto val="1"/>
        <c:lblAlgn val="ctr"/>
        <c:lblOffset val="100"/>
      </c:catAx>
      <c:valAx>
        <c:axId val="82481920"/>
        <c:scaling>
          <c:orientation val="minMax"/>
        </c:scaling>
        <c:axPos val="l"/>
        <c:majorGridlines/>
        <c:numFmt formatCode="General" sourceLinked="1"/>
        <c:tickLblPos val="nextTo"/>
        <c:crossAx val="82463744"/>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30</c:v>
                </c:pt>
                <c:pt idx="1">
                  <c:v>41</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52</c:v>
                </c:pt>
                <c:pt idx="1">
                  <c:v>41</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18</c:v>
                </c:pt>
                <c:pt idx="1">
                  <c:v>18</c:v>
                </c:pt>
              </c:numCache>
            </c:numRef>
          </c:val>
        </c:ser>
        <c:dLbls/>
        <c:axId val="82508416"/>
        <c:axId val="82518400"/>
      </c:barChart>
      <c:catAx>
        <c:axId val="82508416"/>
        <c:scaling>
          <c:orientation val="minMax"/>
        </c:scaling>
        <c:axPos val="b"/>
        <c:tickLblPos val="nextTo"/>
        <c:crossAx val="82518400"/>
        <c:crosses val="autoZero"/>
        <c:auto val="1"/>
        <c:lblAlgn val="ctr"/>
        <c:lblOffset val="100"/>
      </c:catAx>
      <c:valAx>
        <c:axId val="82518400"/>
        <c:scaling>
          <c:orientation val="minMax"/>
        </c:scaling>
        <c:axPos val="l"/>
        <c:majorGridlines/>
        <c:numFmt formatCode="General" sourceLinked="1"/>
        <c:tickLblPos val="nextTo"/>
        <c:crossAx val="82508416"/>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16</c:v>
                </c:pt>
                <c:pt idx="1">
                  <c:v>32</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60</c:v>
                </c:pt>
                <c:pt idx="1">
                  <c:v>64</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24</c:v>
                </c:pt>
                <c:pt idx="1">
                  <c:v>4</c:v>
                </c:pt>
              </c:numCache>
            </c:numRef>
          </c:val>
        </c:ser>
        <c:dLbls/>
        <c:axId val="82578432"/>
        <c:axId val="82604800"/>
      </c:barChart>
      <c:catAx>
        <c:axId val="82578432"/>
        <c:scaling>
          <c:orientation val="minMax"/>
        </c:scaling>
        <c:axPos val="b"/>
        <c:tickLblPos val="nextTo"/>
        <c:crossAx val="82604800"/>
        <c:crosses val="autoZero"/>
        <c:auto val="1"/>
        <c:lblAlgn val="ctr"/>
        <c:lblOffset val="100"/>
      </c:catAx>
      <c:valAx>
        <c:axId val="82604800"/>
        <c:scaling>
          <c:orientation val="minMax"/>
        </c:scaling>
        <c:axPos val="l"/>
        <c:majorGridlines/>
        <c:numFmt formatCode="General" sourceLinked="1"/>
        <c:tickLblPos val="nextTo"/>
        <c:crossAx val="82578432"/>
        <c:crosses val="autoZero"/>
        <c:crossBetween val="between"/>
      </c:valAx>
    </c:plotArea>
    <c:legend>
      <c:legendPos val="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5</c:v>
                </c:pt>
                <c:pt idx="1">
                  <c:v>19</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43</c:v>
                </c:pt>
                <c:pt idx="1">
                  <c:v>52</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52</c:v>
                </c:pt>
                <c:pt idx="1">
                  <c:v>29</c:v>
                </c:pt>
              </c:numCache>
            </c:numRef>
          </c:val>
        </c:ser>
        <c:dLbls/>
        <c:axId val="82643584"/>
        <c:axId val="82649472"/>
      </c:barChart>
      <c:catAx>
        <c:axId val="82643584"/>
        <c:scaling>
          <c:orientation val="minMax"/>
        </c:scaling>
        <c:axPos val="b"/>
        <c:tickLblPos val="nextTo"/>
        <c:crossAx val="82649472"/>
        <c:crosses val="autoZero"/>
        <c:auto val="1"/>
        <c:lblAlgn val="ctr"/>
        <c:lblOffset val="100"/>
      </c:catAx>
      <c:valAx>
        <c:axId val="82649472"/>
        <c:scaling>
          <c:orientation val="minMax"/>
        </c:scaling>
        <c:axPos val="l"/>
        <c:majorGridlines/>
        <c:numFmt formatCode="General" sourceLinked="1"/>
        <c:tickLblPos val="nextTo"/>
        <c:crossAx val="82643584"/>
        <c:crosses val="autoZero"/>
        <c:crossBetween val="between"/>
      </c:valAx>
    </c:plotArea>
    <c:legend>
      <c:legendPos val="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40</c:v>
                </c:pt>
                <c:pt idx="1">
                  <c:v>53</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34</c:v>
                </c:pt>
                <c:pt idx="1">
                  <c:v>47</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26</c:v>
                </c:pt>
                <c:pt idx="1">
                  <c:v>0</c:v>
                </c:pt>
              </c:numCache>
            </c:numRef>
          </c:val>
        </c:ser>
        <c:dLbls/>
        <c:axId val="82790656"/>
        <c:axId val="82804736"/>
      </c:barChart>
      <c:catAx>
        <c:axId val="82790656"/>
        <c:scaling>
          <c:orientation val="minMax"/>
        </c:scaling>
        <c:axPos val="b"/>
        <c:tickLblPos val="nextTo"/>
        <c:crossAx val="82804736"/>
        <c:crosses val="autoZero"/>
        <c:auto val="1"/>
        <c:lblAlgn val="ctr"/>
        <c:lblOffset val="100"/>
      </c:catAx>
      <c:valAx>
        <c:axId val="82804736"/>
        <c:scaling>
          <c:orientation val="minMax"/>
        </c:scaling>
        <c:axPos val="l"/>
        <c:majorGridlines/>
        <c:numFmt formatCode="General" sourceLinked="1"/>
        <c:tickLblPos val="nextTo"/>
        <c:crossAx val="82790656"/>
        <c:crosses val="autoZero"/>
        <c:crossBetween val="between"/>
      </c:valAx>
    </c:plotArea>
    <c:legend>
      <c:legendPos val="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38</c:v>
                </c:pt>
                <c:pt idx="1">
                  <c:v>50</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38</c:v>
                </c:pt>
                <c:pt idx="1">
                  <c:v>38</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24</c:v>
                </c:pt>
                <c:pt idx="1">
                  <c:v>12</c:v>
                </c:pt>
              </c:numCache>
            </c:numRef>
          </c:val>
        </c:ser>
        <c:dLbls/>
        <c:axId val="82831232"/>
        <c:axId val="82832768"/>
      </c:barChart>
      <c:catAx>
        <c:axId val="82831232"/>
        <c:scaling>
          <c:orientation val="minMax"/>
        </c:scaling>
        <c:axPos val="b"/>
        <c:tickLblPos val="nextTo"/>
        <c:crossAx val="82832768"/>
        <c:crosses val="autoZero"/>
        <c:auto val="1"/>
        <c:lblAlgn val="ctr"/>
        <c:lblOffset val="100"/>
      </c:catAx>
      <c:valAx>
        <c:axId val="82832768"/>
        <c:scaling>
          <c:orientation val="minMax"/>
        </c:scaling>
        <c:axPos val="l"/>
        <c:majorGridlines/>
        <c:numFmt formatCode="General" sourceLinked="1"/>
        <c:tickLblPos val="nextTo"/>
        <c:crossAx val="828312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6.6225165562913857E-2"/>
          <c:y val="9.8360655737704944E-2"/>
          <c:w val="0.75496688741721851"/>
          <c:h val="0.75000000000000033"/>
        </c:manualLayout>
      </c:layout>
      <c:barChart>
        <c:barDir val="col"/>
        <c:grouping val="clustered"/>
        <c:ser>
          <c:idx val="0"/>
          <c:order val="0"/>
          <c:tx>
            <c:strRef>
              <c:f>Лист1!$B$1</c:f>
              <c:strCache>
                <c:ptCount val="1"/>
                <c:pt idx="0">
                  <c:v>высокий</c:v>
                </c:pt>
              </c:strCache>
            </c:strRef>
          </c:tx>
          <c:spPr>
            <a:solidFill>
              <a:srgbClr val="FF0000"/>
            </a:solidFill>
          </c:spPr>
          <c:cat>
            <c:strRef>
              <c:f>Лист1!$A$2:$A$3</c:f>
              <c:strCache>
                <c:ptCount val="2"/>
                <c:pt idx="0">
                  <c:v>начало года</c:v>
                </c:pt>
                <c:pt idx="1">
                  <c:v>конец года</c:v>
                </c:pt>
              </c:strCache>
            </c:strRef>
          </c:cat>
          <c:val>
            <c:numRef>
              <c:f>Лист1!$B$2:$B$3</c:f>
              <c:numCache>
                <c:formatCode>General</c:formatCode>
                <c:ptCount val="2"/>
                <c:pt idx="0">
                  <c:v>0</c:v>
                </c:pt>
                <c:pt idx="1">
                  <c:v>4</c:v>
                </c:pt>
              </c:numCache>
            </c:numRef>
          </c:val>
        </c:ser>
        <c:ser>
          <c:idx val="1"/>
          <c:order val="1"/>
          <c:tx>
            <c:strRef>
              <c:f>Лист1!$C$1</c:f>
              <c:strCache>
                <c:ptCount val="1"/>
                <c:pt idx="0">
                  <c:v>средний</c:v>
                </c:pt>
              </c:strCache>
            </c:strRef>
          </c:tx>
          <c:spPr>
            <a:solidFill>
              <a:srgbClr val="0070C0"/>
            </a:solidFill>
          </c:spPr>
          <c:cat>
            <c:strRef>
              <c:f>Лист1!$A$2:$A$3</c:f>
              <c:strCache>
                <c:ptCount val="2"/>
                <c:pt idx="0">
                  <c:v>начало года</c:v>
                </c:pt>
                <c:pt idx="1">
                  <c:v>конец года</c:v>
                </c:pt>
              </c:strCache>
            </c:strRef>
          </c:cat>
          <c:val>
            <c:numRef>
              <c:f>Лист1!$C$2:$C$3</c:f>
              <c:numCache>
                <c:formatCode>General</c:formatCode>
                <c:ptCount val="2"/>
                <c:pt idx="0">
                  <c:v>23</c:v>
                </c:pt>
                <c:pt idx="1">
                  <c:v>46</c:v>
                </c:pt>
              </c:numCache>
            </c:numRef>
          </c:val>
        </c:ser>
        <c:ser>
          <c:idx val="2"/>
          <c:order val="2"/>
          <c:tx>
            <c:strRef>
              <c:f>Лист1!$D$1</c:f>
              <c:strCache>
                <c:ptCount val="1"/>
                <c:pt idx="0">
                  <c:v>низкий</c:v>
                </c:pt>
              </c:strCache>
            </c:strRef>
          </c:tx>
          <c:spPr>
            <a:solidFill>
              <a:srgbClr val="FFFF00"/>
            </a:solidFill>
          </c:spPr>
          <c:cat>
            <c:strRef>
              <c:f>Лист1!$A$2:$A$3</c:f>
              <c:strCache>
                <c:ptCount val="2"/>
                <c:pt idx="0">
                  <c:v>начало года</c:v>
                </c:pt>
                <c:pt idx="1">
                  <c:v>конец года</c:v>
                </c:pt>
              </c:strCache>
            </c:strRef>
          </c:cat>
          <c:val>
            <c:numRef>
              <c:f>Лист1!$D$2:$D$3</c:f>
              <c:numCache>
                <c:formatCode>General</c:formatCode>
                <c:ptCount val="2"/>
                <c:pt idx="0">
                  <c:v>77</c:v>
                </c:pt>
                <c:pt idx="1">
                  <c:v>50</c:v>
                </c:pt>
              </c:numCache>
            </c:numRef>
          </c:val>
        </c:ser>
        <c:dLbls/>
        <c:axId val="73566464"/>
        <c:axId val="73986048"/>
      </c:barChart>
      <c:catAx>
        <c:axId val="73566464"/>
        <c:scaling>
          <c:orientation val="minMax"/>
        </c:scaling>
        <c:axPos val="b"/>
        <c:numFmt formatCode="General" sourceLinked="1"/>
        <c:tickLblPos val="nextTo"/>
        <c:crossAx val="73986048"/>
        <c:crosses val="autoZero"/>
        <c:auto val="1"/>
        <c:lblAlgn val="ctr"/>
        <c:lblOffset val="100"/>
      </c:catAx>
      <c:valAx>
        <c:axId val="73986048"/>
        <c:scaling>
          <c:orientation val="minMax"/>
        </c:scaling>
        <c:axPos val="l"/>
        <c:majorGridlines/>
        <c:numFmt formatCode="General" sourceLinked="1"/>
        <c:tickLblPos val="nextTo"/>
        <c:crossAx val="73566464"/>
        <c:crosses val="autoZero"/>
        <c:crossBetween val="between"/>
      </c:valAx>
    </c:plotArea>
    <c:legend>
      <c:legendPos val="r"/>
      <c:layout>
        <c:manualLayout>
          <c:xMode val="edge"/>
          <c:yMode val="edge"/>
          <c:x val="0.8599290148385268"/>
          <c:y val="0.35775849450573671"/>
          <c:w val="0.12588659181273254"/>
          <c:h val="0.3103447141624604"/>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6.1443932411674354E-2"/>
          <c:y val="9.2664092664092798E-2"/>
          <c:w val="0.76190476190476186"/>
          <c:h val="0.76447876447876462"/>
        </c:manualLayout>
      </c:layout>
      <c:barChart>
        <c:barDir val="col"/>
        <c:grouping val="clustered"/>
        <c:ser>
          <c:idx val="0"/>
          <c:order val="0"/>
          <c:tx>
            <c:strRef>
              <c:f>Лист1!$B$1</c:f>
              <c:strCache>
                <c:ptCount val="1"/>
                <c:pt idx="0">
                  <c:v>высокий</c:v>
                </c:pt>
              </c:strCache>
            </c:strRef>
          </c:tx>
          <c:spPr>
            <a:solidFill>
              <a:srgbClr val="FF0000"/>
            </a:solidFill>
          </c:spPr>
          <c:cat>
            <c:strRef>
              <c:f>Лист1!$A$2:$A$3</c:f>
              <c:strCache>
                <c:ptCount val="2"/>
                <c:pt idx="0">
                  <c:v>начало года</c:v>
                </c:pt>
                <c:pt idx="1">
                  <c:v>конец года</c:v>
                </c:pt>
              </c:strCache>
            </c:strRef>
          </c:cat>
          <c:val>
            <c:numRef>
              <c:f>Лист1!$B$2:$B$3</c:f>
              <c:numCache>
                <c:formatCode>General</c:formatCode>
                <c:ptCount val="2"/>
                <c:pt idx="0">
                  <c:v>3</c:v>
                </c:pt>
                <c:pt idx="1">
                  <c:v>11</c:v>
                </c:pt>
              </c:numCache>
            </c:numRef>
          </c:val>
        </c:ser>
        <c:ser>
          <c:idx val="1"/>
          <c:order val="1"/>
          <c:tx>
            <c:strRef>
              <c:f>Лист1!$C$1</c:f>
              <c:strCache>
                <c:ptCount val="1"/>
                <c:pt idx="0">
                  <c:v>средний</c:v>
                </c:pt>
              </c:strCache>
            </c:strRef>
          </c:tx>
          <c:spPr>
            <a:solidFill>
              <a:srgbClr val="0070C0"/>
            </a:solidFill>
          </c:spPr>
          <c:cat>
            <c:strRef>
              <c:f>Лист1!$A$2:$A$3</c:f>
              <c:strCache>
                <c:ptCount val="2"/>
                <c:pt idx="0">
                  <c:v>начало года</c:v>
                </c:pt>
                <c:pt idx="1">
                  <c:v>конец года</c:v>
                </c:pt>
              </c:strCache>
            </c:strRef>
          </c:cat>
          <c:val>
            <c:numRef>
              <c:f>Лист1!$C$2:$C$3</c:f>
              <c:numCache>
                <c:formatCode>General</c:formatCode>
                <c:ptCount val="2"/>
                <c:pt idx="0">
                  <c:v>39</c:v>
                </c:pt>
                <c:pt idx="1">
                  <c:v>50</c:v>
                </c:pt>
              </c:numCache>
            </c:numRef>
          </c:val>
        </c:ser>
        <c:ser>
          <c:idx val="2"/>
          <c:order val="2"/>
          <c:tx>
            <c:strRef>
              <c:f>Лист1!$D$1</c:f>
              <c:strCache>
                <c:ptCount val="1"/>
                <c:pt idx="0">
                  <c:v>низкий</c:v>
                </c:pt>
              </c:strCache>
            </c:strRef>
          </c:tx>
          <c:spPr>
            <a:solidFill>
              <a:srgbClr val="FFFF00"/>
            </a:solidFill>
          </c:spPr>
          <c:cat>
            <c:strRef>
              <c:f>Лист1!$A$2:$A$3</c:f>
              <c:strCache>
                <c:ptCount val="2"/>
                <c:pt idx="0">
                  <c:v>начало года</c:v>
                </c:pt>
                <c:pt idx="1">
                  <c:v>конец года</c:v>
                </c:pt>
              </c:strCache>
            </c:strRef>
          </c:cat>
          <c:val>
            <c:numRef>
              <c:f>Лист1!$D$2:$D$3</c:f>
              <c:numCache>
                <c:formatCode>General</c:formatCode>
                <c:ptCount val="2"/>
                <c:pt idx="0">
                  <c:v>58</c:v>
                </c:pt>
                <c:pt idx="1">
                  <c:v>39</c:v>
                </c:pt>
              </c:numCache>
            </c:numRef>
          </c:val>
        </c:ser>
        <c:dLbls/>
        <c:axId val="81676160"/>
        <c:axId val="81677696"/>
      </c:barChart>
      <c:catAx>
        <c:axId val="81676160"/>
        <c:scaling>
          <c:orientation val="minMax"/>
        </c:scaling>
        <c:axPos val="b"/>
        <c:numFmt formatCode="General" sourceLinked="1"/>
        <c:tickLblPos val="nextTo"/>
        <c:crossAx val="81677696"/>
        <c:crosses val="autoZero"/>
        <c:auto val="1"/>
        <c:lblAlgn val="ctr"/>
        <c:lblOffset val="100"/>
      </c:catAx>
      <c:valAx>
        <c:axId val="81677696"/>
        <c:scaling>
          <c:orientation val="minMax"/>
        </c:scaling>
        <c:axPos val="l"/>
        <c:majorGridlines/>
        <c:numFmt formatCode="General" sourceLinked="1"/>
        <c:tickLblPos val="nextTo"/>
        <c:crossAx val="81676160"/>
        <c:crosses val="autoZero"/>
        <c:crossBetween val="between"/>
      </c:valAx>
    </c:plotArea>
    <c:legend>
      <c:legendPos val="r"/>
      <c:layout>
        <c:manualLayout>
          <c:xMode val="edge"/>
          <c:yMode val="edge"/>
          <c:x val="0.85992900885923562"/>
          <c:y val="0.35775845285222935"/>
          <c:w val="0.12588655081086053"/>
          <c:h val="0.31034460380297269"/>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38</c:v>
                </c:pt>
                <c:pt idx="1">
                  <c:v>52</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38</c:v>
                </c:pt>
                <c:pt idx="1">
                  <c:v>38</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24</c:v>
                </c:pt>
                <c:pt idx="1">
                  <c:v>10</c:v>
                </c:pt>
              </c:numCache>
            </c:numRef>
          </c:val>
        </c:ser>
        <c:dLbls/>
        <c:axId val="81597952"/>
        <c:axId val="81599488"/>
      </c:barChart>
      <c:catAx>
        <c:axId val="81597952"/>
        <c:scaling>
          <c:orientation val="minMax"/>
        </c:scaling>
        <c:axPos val="b"/>
        <c:tickLblPos val="nextTo"/>
        <c:crossAx val="81599488"/>
        <c:crosses val="autoZero"/>
        <c:auto val="1"/>
        <c:lblAlgn val="ctr"/>
        <c:lblOffset val="100"/>
      </c:catAx>
      <c:valAx>
        <c:axId val="81599488"/>
        <c:scaling>
          <c:orientation val="minMax"/>
        </c:scaling>
        <c:axPos val="l"/>
        <c:majorGridlines/>
        <c:numFmt formatCode="General" sourceLinked="1"/>
        <c:tickLblPos val="nextTo"/>
        <c:crossAx val="8159795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23</c:v>
                </c:pt>
                <c:pt idx="1">
                  <c:v>31</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19</c:v>
                </c:pt>
                <c:pt idx="1">
                  <c:v>58</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58</c:v>
                </c:pt>
                <c:pt idx="1">
                  <c:v>11</c:v>
                </c:pt>
              </c:numCache>
            </c:numRef>
          </c:val>
        </c:ser>
        <c:dLbls/>
        <c:axId val="81585280"/>
        <c:axId val="81586816"/>
      </c:barChart>
      <c:catAx>
        <c:axId val="81585280"/>
        <c:scaling>
          <c:orientation val="minMax"/>
        </c:scaling>
        <c:axPos val="b"/>
        <c:tickLblPos val="nextTo"/>
        <c:crossAx val="81586816"/>
        <c:crosses val="autoZero"/>
        <c:auto val="1"/>
        <c:lblAlgn val="ctr"/>
        <c:lblOffset val="100"/>
      </c:catAx>
      <c:valAx>
        <c:axId val="81586816"/>
        <c:scaling>
          <c:orientation val="minMax"/>
        </c:scaling>
        <c:axPos val="l"/>
        <c:majorGridlines/>
        <c:numFmt formatCode="General" sourceLinked="1"/>
        <c:tickLblPos val="nextTo"/>
        <c:crossAx val="8158528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18</c:v>
                </c:pt>
                <c:pt idx="1">
                  <c:v>30</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30</c:v>
                </c:pt>
                <c:pt idx="1">
                  <c:v>44</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52</c:v>
                </c:pt>
                <c:pt idx="1">
                  <c:v>26</c:v>
                </c:pt>
              </c:numCache>
            </c:numRef>
          </c:val>
        </c:ser>
        <c:dLbls/>
        <c:axId val="81781504"/>
        <c:axId val="81783040"/>
      </c:barChart>
      <c:catAx>
        <c:axId val="81781504"/>
        <c:scaling>
          <c:orientation val="minMax"/>
        </c:scaling>
        <c:axPos val="b"/>
        <c:tickLblPos val="nextTo"/>
        <c:crossAx val="81783040"/>
        <c:crosses val="autoZero"/>
        <c:auto val="1"/>
        <c:lblAlgn val="ctr"/>
        <c:lblOffset val="100"/>
      </c:catAx>
      <c:valAx>
        <c:axId val="81783040"/>
        <c:scaling>
          <c:orientation val="minMax"/>
        </c:scaling>
        <c:axPos val="l"/>
        <c:majorGridlines/>
        <c:numFmt formatCode="General" sourceLinked="1"/>
        <c:tickLblPos val="nextTo"/>
        <c:crossAx val="81781504"/>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32</c:v>
                </c:pt>
                <c:pt idx="1">
                  <c:v>32</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20</c:v>
                </c:pt>
                <c:pt idx="1">
                  <c:v>52</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48</c:v>
                </c:pt>
                <c:pt idx="1">
                  <c:v>16</c:v>
                </c:pt>
              </c:numCache>
            </c:numRef>
          </c:val>
        </c:ser>
        <c:dLbls/>
        <c:axId val="81809792"/>
        <c:axId val="81811328"/>
      </c:barChart>
      <c:catAx>
        <c:axId val="81809792"/>
        <c:scaling>
          <c:orientation val="minMax"/>
        </c:scaling>
        <c:axPos val="b"/>
        <c:tickLblPos val="nextTo"/>
        <c:crossAx val="81811328"/>
        <c:crosses val="autoZero"/>
        <c:auto val="1"/>
        <c:lblAlgn val="ctr"/>
        <c:lblOffset val="100"/>
      </c:catAx>
      <c:valAx>
        <c:axId val="81811328"/>
        <c:scaling>
          <c:orientation val="minMax"/>
        </c:scaling>
        <c:axPos val="l"/>
        <c:majorGridlines/>
        <c:numFmt formatCode="General" sourceLinked="1"/>
        <c:tickLblPos val="nextTo"/>
        <c:crossAx val="8180979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Лист1!$A$2:$A$3</c:f>
              <c:strCache>
                <c:ptCount val="2"/>
                <c:pt idx="0">
                  <c:v>начало года</c:v>
                </c:pt>
                <c:pt idx="1">
                  <c:v>конец года</c:v>
                </c:pt>
              </c:strCache>
            </c:strRef>
          </c:cat>
          <c:val>
            <c:numRef>
              <c:f>Лист1!$B$2:$B$3</c:f>
              <c:numCache>
                <c:formatCode>General</c:formatCode>
                <c:ptCount val="2"/>
                <c:pt idx="0">
                  <c:v>16</c:v>
                </c:pt>
                <c:pt idx="1">
                  <c:v>31</c:v>
                </c:pt>
              </c:numCache>
            </c:numRef>
          </c:val>
        </c:ser>
        <c:ser>
          <c:idx val="1"/>
          <c:order val="1"/>
          <c:tx>
            <c:strRef>
              <c:f>Лист1!$C$1</c:f>
              <c:strCache>
                <c:ptCount val="1"/>
                <c:pt idx="0">
                  <c:v>средний</c:v>
                </c:pt>
              </c:strCache>
            </c:strRef>
          </c:tx>
          <c:spPr>
            <a:solidFill>
              <a:srgbClr val="0070C0"/>
            </a:solidFill>
          </c:spPr>
          <c:dLbls>
            <c:showVal val="1"/>
          </c:dLbls>
          <c:cat>
            <c:strRef>
              <c:f>Лист1!$A$2:$A$3</c:f>
              <c:strCache>
                <c:ptCount val="2"/>
                <c:pt idx="0">
                  <c:v>начало года</c:v>
                </c:pt>
                <c:pt idx="1">
                  <c:v>конец года</c:v>
                </c:pt>
              </c:strCache>
            </c:strRef>
          </c:cat>
          <c:val>
            <c:numRef>
              <c:f>Лист1!$C$2:$C$3</c:f>
              <c:numCache>
                <c:formatCode>General</c:formatCode>
                <c:ptCount val="2"/>
                <c:pt idx="0">
                  <c:v>53</c:v>
                </c:pt>
                <c:pt idx="1">
                  <c:v>65</c:v>
                </c:pt>
              </c:numCache>
            </c:numRef>
          </c:val>
        </c:ser>
        <c:ser>
          <c:idx val="2"/>
          <c:order val="2"/>
          <c:tx>
            <c:strRef>
              <c:f>Лист1!$D$1</c:f>
              <c:strCache>
                <c:ptCount val="1"/>
                <c:pt idx="0">
                  <c:v>низкий</c:v>
                </c:pt>
              </c:strCache>
            </c:strRef>
          </c:tx>
          <c:spPr>
            <a:solidFill>
              <a:srgbClr val="FFFF00"/>
            </a:solidFill>
          </c:spPr>
          <c:dLbls>
            <c:showVal val="1"/>
          </c:dLbls>
          <c:cat>
            <c:strRef>
              <c:f>Лист1!$A$2:$A$3</c:f>
              <c:strCache>
                <c:ptCount val="2"/>
                <c:pt idx="0">
                  <c:v>начало года</c:v>
                </c:pt>
                <c:pt idx="1">
                  <c:v>конец года</c:v>
                </c:pt>
              </c:strCache>
            </c:strRef>
          </c:cat>
          <c:val>
            <c:numRef>
              <c:f>Лист1!$D$2:$D$3</c:f>
              <c:numCache>
                <c:formatCode>General</c:formatCode>
                <c:ptCount val="2"/>
                <c:pt idx="0">
                  <c:v>31</c:v>
                </c:pt>
                <c:pt idx="1">
                  <c:v>4</c:v>
                </c:pt>
              </c:numCache>
            </c:numRef>
          </c:val>
        </c:ser>
        <c:dLbls/>
        <c:axId val="81883136"/>
        <c:axId val="81884672"/>
      </c:barChart>
      <c:catAx>
        <c:axId val="81883136"/>
        <c:scaling>
          <c:orientation val="minMax"/>
        </c:scaling>
        <c:axPos val="b"/>
        <c:tickLblPos val="nextTo"/>
        <c:crossAx val="81884672"/>
        <c:crosses val="autoZero"/>
        <c:auto val="1"/>
        <c:lblAlgn val="ctr"/>
        <c:lblOffset val="100"/>
      </c:catAx>
      <c:valAx>
        <c:axId val="81884672"/>
        <c:scaling>
          <c:orientation val="minMax"/>
        </c:scaling>
        <c:axPos val="l"/>
        <c:majorGridlines/>
        <c:numFmt formatCode="General" sourceLinked="1"/>
        <c:tickLblPos val="nextTo"/>
        <c:crossAx val="8188313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328</TotalTime>
  <Pages>26</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dcterms:created xsi:type="dcterms:W3CDTF">2018-09-13T10:36:00Z</dcterms:created>
  <dcterms:modified xsi:type="dcterms:W3CDTF">2023-11-10T04:43:00Z</dcterms:modified>
</cp:coreProperties>
</file>